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FC" w:rsidRPr="0047559A" w:rsidRDefault="006E193C" w:rsidP="00C6463F">
      <w:pPr>
        <w:jc w:val="center"/>
        <w:rPr>
          <w:b/>
          <w:sz w:val="28"/>
          <w:szCs w:val="28"/>
        </w:rPr>
      </w:pPr>
      <w:r w:rsidRPr="0047559A">
        <w:rPr>
          <w:b/>
          <w:sz w:val="28"/>
          <w:szCs w:val="28"/>
        </w:rPr>
        <w:t>The Reason for</w:t>
      </w:r>
      <w:r w:rsidR="00C6463F" w:rsidRPr="0047559A">
        <w:rPr>
          <w:b/>
          <w:sz w:val="28"/>
          <w:szCs w:val="28"/>
        </w:rPr>
        <w:t xml:space="preserve"> </w:t>
      </w:r>
      <w:r w:rsidRPr="0047559A">
        <w:rPr>
          <w:b/>
          <w:sz w:val="28"/>
          <w:szCs w:val="28"/>
        </w:rPr>
        <w:t>‘</w:t>
      </w:r>
      <w:r w:rsidR="00C6463F" w:rsidRPr="0047559A">
        <w:rPr>
          <w:b/>
          <w:sz w:val="28"/>
          <w:szCs w:val="28"/>
        </w:rPr>
        <w:t>The Reason of Rules</w:t>
      </w:r>
      <w:r w:rsidRPr="0047559A">
        <w:rPr>
          <w:b/>
          <w:sz w:val="28"/>
          <w:szCs w:val="28"/>
        </w:rPr>
        <w:t>’</w:t>
      </w:r>
    </w:p>
    <w:p w:rsidR="00C6463F" w:rsidRDefault="00C6463F" w:rsidP="00C6463F">
      <w:pPr>
        <w:jc w:val="center"/>
      </w:pPr>
    </w:p>
    <w:p w:rsidR="006E193C" w:rsidRDefault="006E193C" w:rsidP="00C6463F"/>
    <w:p w:rsidR="006E193C" w:rsidRPr="001006A2" w:rsidRDefault="003B0414" w:rsidP="00C6463F">
      <w:r w:rsidRPr="003B0414">
        <w:rPr>
          <w:i/>
        </w:rPr>
        <w:t>The</w:t>
      </w:r>
      <w:r w:rsidR="006E193C">
        <w:t xml:space="preserve"> </w:t>
      </w:r>
      <w:r w:rsidR="006E193C" w:rsidRPr="003B0414">
        <w:rPr>
          <w:i/>
        </w:rPr>
        <w:t xml:space="preserve">Reason of Rules </w:t>
      </w:r>
      <w:r w:rsidR="006E193C">
        <w:t xml:space="preserve">was a </w:t>
      </w:r>
      <w:r w:rsidR="001A45B3">
        <w:t xml:space="preserve">temporal </w:t>
      </w:r>
      <w:r w:rsidR="006E193C">
        <w:t xml:space="preserve">sequel – </w:t>
      </w:r>
      <w:r w:rsidR="001A45B3">
        <w:t>though</w:t>
      </w:r>
      <w:r w:rsidR="006E193C">
        <w:t xml:space="preserve"> </w:t>
      </w:r>
      <w:r w:rsidR="001A45B3">
        <w:t xml:space="preserve">in </w:t>
      </w:r>
      <w:r w:rsidR="007879E6">
        <w:t xml:space="preserve">logical </w:t>
      </w:r>
      <w:r w:rsidR="001A45B3">
        <w:t>terms</w:t>
      </w:r>
      <w:r w:rsidR="001006A2">
        <w:t>,</w:t>
      </w:r>
      <w:r w:rsidR="001A45B3">
        <w:t xml:space="preserve"> </w:t>
      </w:r>
      <w:r w:rsidR="00A4238D">
        <w:t xml:space="preserve">really </w:t>
      </w:r>
      <w:r w:rsidR="006E193C">
        <w:t xml:space="preserve">a prequel – to </w:t>
      </w:r>
      <w:r w:rsidR="006E193C" w:rsidRPr="006E193C">
        <w:rPr>
          <w:i/>
        </w:rPr>
        <w:t>The Power to Tax</w:t>
      </w:r>
      <w:r w:rsidR="006E193C">
        <w:t xml:space="preserve">. </w:t>
      </w:r>
      <w:r w:rsidR="001006A2">
        <w:t xml:space="preserve">Research is often like that. One can work upstream to more foundational issues as well as downstream to applications or logical implications. </w:t>
      </w:r>
      <w:r w:rsidR="00A55F7C">
        <w:t>The development of the</w:t>
      </w:r>
      <w:r w:rsidR="001006A2">
        <w:t xml:space="preserve"> </w:t>
      </w:r>
      <w:r w:rsidR="001006A2" w:rsidRPr="001006A2">
        <w:rPr>
          <w:i/>
        </w:rPr>
        <w:t>Reason</w:t>
      </w:r>
      <w:r w:rsidR="001006A2">
        <w:rPr>
          <w:i/>
        </w:rPr>
        <w:t xml:space="preserve"> </w:t>
      </w:r>
      <w:r w:rsidR="00A55F7C">
        <w:t xml:space="preserve">from the </w:t>
      </w:r>
      <w:r w:rsidR="00A55F7C" w:rsidRPr="001006A2">
        <w:rPr>
          <w:i/>
        </w:rPr>
        <w:t>Power</w:t>
      </w:r>
      <w:r w:rsidR="00A55F7C">
        <w:t xml:space="preserve"> </w:t>
      </w:r>
      <w:r w:rsidR="001006A2">
        <w:t>was an upstream move.</w:t>
      </w:r>
    </w:p>
    <w:p w:rsidR="0087315B" w:rsidRDefault="0087315B" w:rsidP="00C6463F"/>
    <w:p w:rsidR="00C6463F" w:rsidRDefault="006E193C" w:rsidP="00C6463F">
      <w:r>
        <w:t xml:space="preserve">In the months following the publication of </w:t>
      </w:r>
      <w:r w:rsidRPr="006E193C">
        <w:rPr>
          <w:i/>
        </w:rPr>
        <w:t>The Power to Tax</w:t>
      </w:r>
      <w:r>
        <w:t>, Jim and I – both jointly and severally – had been drawn into a series of expositions and defences of the basic argument</w:t>
      </w:r>
      <w:r w:rsidR="003B0414">
        <w:t xml:space="preserve"> contained in that book</w:t>
      </w:r>
      <w:r>
        <w:t xml:space="preserve">. </w:t>
      </w:r>
      <w:r w:rsidR="003B0414">
        <w:t>Perhaps unsurprisingly, w</w:t>
      </w:r>
      <w:r w:rsidR="001006A2">
        <w:t>hat we found,</w:t>
      </w:r>
      <w:r w:rsidR="003B0414">
        <w:t xml:space="preserve"> especially </w:t>
      </w:r>
      <w:r w:rsidR="001006A2">
        <w:t xml:space="preserve">within public finance orthodoxy, </w:t>
      </w:r>
      <w:r>
        <w:t xml:space="preserve">was a decided lack of sympathy with the enterprise – and specifically with the “approach” to </w:t>
      </w:r>
      <w:r w:rsidR="0087315B">
        <w:t xml:space="preserve">government action on which the whole exercise was based. </w:t>
      </w:r>
      <w:r w:rsidR="00A55F7C">
        <w:t xml:space="preserve">The claim – not perhaps entirely without justification – was that the putative ‘model’ of government embodied in the </w:t>
      </w:r>
      <w:r w:rsidR="00A55F7C" w:rsidRPr="0087315B">
        <w:rPr>
          <w:i/>
        </w:rPr>
        <w:t>Power to Tax</w:t>
      </w:r>
      <w:r w:rsidR="00A55F7C">
        <w:t xml:space="preserve"> was a total caricature and hence that a tax theory based on that model was not worth </w:t>
      </w:r>
      <w:r w:rsidR="00141B3D">
        <w:t>taking seriously</w:t>
      </w:r>
      <w:r w:rsidR="00A55F7C">
        <w:t xml:space="preserve">. </w:t>
      </w:r>
      <w:r w:rsidR="0087315B">
        <w:t xml:space="preserve">In one way, I guess, one </w:t>
      </w:r>
      <w:r w:rsidR="00A4238D">
        <w:t>important purpose had been</w:t>
      </w:r>
      <w:r w:rsidR="0087315B">
        <w:t xml:space="preserve"> served --because </w:t>
      </w:r>
      <w:r w:rsidR="003B0414">
        <w:t xml:space="preserve">many </w:t>
      </w:r>
      <w:r w:rsidR="0087315B">
        <w:t xml:space="preserve">public finance people became </w:t>
      </w:r>
      <w:r w:rsidR="00A55F7C">
        <w:t>focused</w:t>
      </w:r>
      <w:r w:rsidR="0087315B">
        <w:t xml:space="preserve"> (for the first time really) </w:t>
      </w:r>
      <w:r w:rsidR="00A55F7C">
        <w:t>o</w:t>
      </w:r>
      <w:r w:rsidR="0087315B">
        <w:t xml:space="preserve">n </w:t>
      </w:r>
      <w:r w:rsidR="00A55F7C">
        <w:t>the issue public choice held to be critical</w:t>
      </w:r>
      <w:r w:rsidR="00141B3D">
        <w:t xml:space="preserve"> – namely, the importance of the underlying model of politics!</w:t>
      </w:r>
    </w:p>
    <w:p w:rsidR="0087315B" w:rsidRDefault="0087315B" w:rsidP="00C6463F"/>
    <w:p w:rsidR="003B0414" w:rsidRDefault="00A4238D" w:rsidP="00C6463F">
      <w:r>
        <w:t>In this sense, o</w:t>
      </w:r>
      <w:r w:rsidR="0087315B">
        <w:t>ur response must have been a bit disappointing to the critics</w:t>
      </w:r>
      <w:r w:rsidR="003B0414">
        <w:t xml:space="preserve">. </w:t>
      </w:r>
      <w:r w:rsidR="007879E6">
        <w:t>W</w:t>
      </w:r>
      <w:r w:rsidR="003B0414">
        <w:t xml:space="preserve">e were </w:t>
      </w:r>
      <w:r w:rsidR="007879E6">
        <w:t xml:space="preserve">simply </w:t>
      </w:r>
      <w:r w:rsidR="003B0414">
        <w:t xml:space="preserve">inclined to concede the point – at least, to concede it this far: that any satisfactory normative theory of taxation has to be based on a plausible account of the political processes of which tax policy is both an outcome and an essential </w:t>
      </w:r>
      <w:r w:rsidR="00F53CCA">
        <w:t>element</w:t>
      </w:r>
      <w:r w:rsidR="003B0414">
        <w:t xml:space="preserve">. In one way, that </w:t>
      </w:r>
      <w:r w:rsidR="001006A2">
        <w:t xml:space="preserve">particular </w:t>
      </w:r>
      <w:r w:rsidR="003B0414">
        <w:t xml:space="preserve">message was the central one in the whole public choice endeavour – and if </w:t>
      </w:r>
      <w:r w:rsidR="001006A2" w:rsidRPr="001006A2">
        <w:rPr>
          <w:i/>
        </w:rPr>
        <w:t>T</w:t>
      </w:r>
      <w:r w:rsidR="003B0414" w:rsidRPr="001006A2">
        <w:rPr>
          <w:i/>
        </w:rPr>
        <w:t>he Power to Tax</w:t>
      </w:r>
      <w:r w:rsidR="003B0414">
        <w:t xml:space="preserve"> served to establish that message in the heartland of public finance orthodoxy, then an important task had been accomplished. Certainly, what we were not prepared to concede was that the approach to politics in the </w:t>
      </w:r>
      <w:r w:rsidR="003B0414" w:rsidRPr="001006A2">
        <w:rPr>
          <w:i/>
        </w:rPr>
        <w:t>Power</w:t>
      </w:r>
      <w:r>
        <w:rPr>
          <w:i/>
        </w:rPr>
        <w:t xml:space="preserve"> to Tax</w:t>
      </w:r>
      <w:r w:rsidR="003B0414">
        <w:t xml:space="preserve"> was any </w:t>
      </w:r>
      <w:r w:rsidR="001006A2">
        <w:t>more</w:t>
      </w:r>
      <w:r w:rsidR="00F53CCA">
        <w:t xml:space="preserve"> of</w:t>
      </w:r>
      <w:r w:rsidR="003B0414">
        <w:t xml:space="preserve"> a caricature than the “benevolent despot” model that inhabited standard tax reform advocacy.</w:t>
      </w:r>
    </w:p>
    <w:p w:rsidR="003B0414" w:rsidRDefault="003B0414" w:rsidP="00C6463F"/>
    <w:p w:rsidR="0087315B" w:rsidRDefault="0087315B" w:rsidP="00C6463F">
      <w:r>
        <w:t xml:space="preserve">Remember that in those early days, </w:t>
      </w:r>
      <w:r w:rsidR="001A45B3">
        <w:t xml:space="preserve">whatever </w:t>
      </w:r>
      <w:r w:rsidR="00A55F7C">
        <w:t>the prevailing</w:t>
      </w:r>
      <w:r w:rsidR="001A45B3">
        <w:t xml:space="preserve"> attitudes </w:t>
      </w:r>
      <w:r w:rsidR="00A4238D">
        <w:t>were about</w:t>
      </w:r>
      <w:r>
        <w:t xml:space="preserve"> what public choice theory was </w:t>
      </w:r>
      <w:r w:rsidRPr="0087315B">
        <w:rPr>
          <w:i/>
        </w:rPr>
        <w:t>for</w:t>
      </w:r>
      <w:r>
        <w:t xml:space="preserve">, </w:t>
      </w:r>
      <w:r w:rsidR="00A55F7C">
        <w:t>everyone was</w:t>
      </w:r>
      <w:r>
        <w:t xml:space="preserve"> clear enough about what </w:t>
      </w:r>
      <w:r w:rsidR="00A55F7C">
        <w:t>it</w:t>
      </w:r>
      <w:r>
        <w:t xml:space="preserve"> w</w:t>
      </w:r>
      <w:r w:rsidR="00A55F7C">
        <w:t>as</w:t>
      </w:r>
      <w:r>
        <w:t xml:space="preserve"> </w:t>
      </w:r>
      <w:r w:rsidR="00141B3D">
        <w:t xml:space="preserve">that public choice was </w:t>
      </w:r>
      <w:r w:rsidRPr="0087315B">
        <w:rPr>
          <w:i/>
        </w:rPr>
        <w:t>against</w:t>
      </w:r>
      <w:r w:rsidR="001006A2">
        <w:rPr>
          <w:i/>
        </w:rPr>
        <w:t>.</w:t>
      </w:r>
      <w:r w:rsidR="005E4928">
        <w:t xml:space="preserve"> </w:t>
      </w:r>
      <w:r w:rsidR="001006A2">
        <w:t>T</w:t>
      </w:r>
      <w:r w:rsidR="005E4928">
        <w:t xml:space="preserve">he benevolent despot </w:t>
      </w:r>
      <w:r w:rsidR="001A45B3">
        <w:t xml:space="preserve">account </w:t>
      </w:r>
      <w:r w:rsidR="00F53CCA">
        <w:t xml:space="preserve">of government </w:t>
      </w:r>
      <w:r w:rsidR="005E4928">
        <w:t xml:space="preserve">was the </w:t>
      </w:r>
      <w:r w:rsidR="00F53CCA">
        <w:t>thing</w:t>
      </w:r>
      <w:r w:rsidR="005E4928">
        <w:t xml:space="preserve"> we </w:t>
      </w:r>
      <w:r w:rsidR="00A55F7C">
        <w:t>public choice folk “</w:t>
      </w:r>
      <w:r w:rsidR="005E4928">
        <w:t>loved to hate</w:t>
      </w:r>
      <w:r w:rsidR="00A55F7C">
        <w:t>”</w:t>
      </w:r>
      <w:r w:rsidR="005E4928">
        <w:t>!</w:t>
      </w:r>
    </w:p>
    <w:p w:rsidR="00A55F7C" w:rsidRDefault="00A55F7C" w:rsidP="00C6463F"/>
    <w:p w:rsidR="005E4928" w:rsidRDefault="003B0414" w:rsidP="00C6463F">
      <w:r>
        <w:t xml:space="preserve">And </w:t>
      </w:r>
      <w:r w:rsidR="001A45B3">
        <w:t xml:space="preserve">one of the important reasons we disapproved </w:t>
      </w:r>
      <w:r w:rsidR="00A55F7C">
        <w:t xml:space="preserve">of the BD account </w:t>
      </w:r>
      <w:r w:rsidR="001A45B3">
        <w:t>lay in</w:t>
      </w:r>
      <w:r w:rsidR="00F53CCA">
        <w:t xml:space="preserve"> the striking divergence</w:t>
      </w:r>
      <w:r w:rsidR="00A55F7C">
        <w:t xml:space="preserve"> </w:t>
      </w:r>
      <w:r>
        <w:t>between motivations ascribed to policy-</w:t>
      </w:r>
      <w:r w:rsidRPr="003B0414">
        <w:rPr>
          <w:i/>
        </w:rPr>
        <w:t>makers</w:t>
      </w:r>
      <w:r>
        <w:t xml:space="preserve"> and </w:t>
      </w:r>
      <w:r w:rsidR="001006A2">
        <w:t xml:space="preserve">to </w:t>
      </w:r>
      <w:r>
        <w:t>policy-</w:t>
      </w:r>
      <w:r w:rsidRPr="003B0414">
        <w:rPr>
          <w:i/>
        </w:rPr>
        <w:t>takers</w:t>
      </w:r>
      <w:r>
        <w:t xml:space="preserve">. The latter were modelled in simple </w:t>
      </w:r>
      <w:r w:rsidRPr="00F426FE">
        <w:rPr>
          <w:i/>
        </w:rPr>
        <w:t xml:space="preserve">homo </w:t>
      </w:r>
      <w:proofErr w:type="spellStart"/>
      <w:r w:rsidRPr="00F426FE">
        <w:rPr>
          <w:i/>
        </w:rPr>
        <w:t>economicus</w:t>
      </w:r>
      <w:proofErr w:type="spellEnd"/>
      <w:r>
        <w:t xml:space="preserve"> terms; the former </w:t>
      </w:r>
      <w:r w:rsidR="00F53CCA">
        <w:t xml:space="preserve">were modelled </w:t>
      </w:r>
      <w:r>
        <w:t xml:space="preserve">as motivated exclusively by </w:t>
      </w:r>
      <w:r w:rsidR="00F426FE">
        <w:t xml:space="preserve">a desire to promote goodness, as the public finance/welfare economics framework defined it. </w:t>
      </w:r>
      <w:r w:rsidR="00A55F7C">
        <w:t>Bit odd, that, we thought.</w:t>
      </w:r>
    </w:p>
    <w:p w:rsidR="00F426FE" w:rsidRDefault="00F426FE" w:rsidP="00C6463F"/>
    <w:p w:rsidR="005E4928" w:rsidRDefault="005E4928" w:rsidP="00C6463F">
      <w:r>
        <w:t xml:space="preserve">The simple manoeuvre in the </w:t>
      </w:r>
      <w:r w:rsidRPr="005E4928">
        <w:rPr>
          <w:i/>
        </w:rPr>
        <w:t>Power to Tax</w:t>
      </w:r>
      <w:r>
        <w:t xml:space="preserve"> was to </w:t>
      </w:r>
      <w:r w:rsidR="00F426FE">
        <w:t xml:space="preserve">dissolve this divergence. We replaced </w:t>
      </w:r>
      <w:r>
        <w:t xml:space="preserve">the benevolent despot </w:t>
      </w:r>
      <w:r w:rsidR="00F426FE">
        <w:t>picture</w:t>
      </w:r>
      <w:r>
        <w:t xml:space="preserve"> with a non-benevolent despot</w:t>
      </w:r>
      <w:r w:rsidR="00F426FE">
        <w:t xml:space="preserve"> alternative --</w:t>
      </w:r>
      <w:r>
        <w:t xml:space="preserve"> not an especially malevolent despot, just a rational maximiser in the spirit of </w:t>
      </w:r>
      <w:r>
        <w:lastRenderedPageBreak/>
        <w:t>the</w:t>
      </w:r>
      <w:r w:rsidR="001006A2">
        <w:t xml:space="preserve"> familiar</w:t>
      </w:r>
      <w:r>
        <w:t xml:space="preserve"> </w:t>
      </w:r>
      <w:r w:rsidRPr="005E4928">
        <w:rPr>
          <w:i/>
        </w:rPr>
        <w:t xml:space="preserve">homo </w:t>
      </w:r>
      <w:proofErr w:type="spellStart"/>
      <w:r w:rsidRPr="005E4928">
        <w:rPr>
          <w:i/>
        </w:rPr>
        <w:t>economicus</w:t>
      </w:r>
      <w:proofErr w:type="spellEnd"/>
      <w:r>
        <w:t xml:space="preserve"> construction</w:t>
      </w:r>
      <w:r w:rsidR="001006A2">
        <w:t>.</w:t>
      </w:r>
      <w:r>
        <w:t xml:space="preserve"> Our question was whether the standard </w:t>
      </w:r>
      <w:proofErr w:type="spellStart"/>
      <w:r>
        <w:t>nostroms</w:t>
      </w:r>
      <w:proofErr w:type="spellEnd"/>
      <w:r>
        <w:t xml:space="preserve"> of tax policy would survive this simple transformation. </w:t>
      </w:r>
      <w:r w:rsidR="00F53CCA">
        <w:t>[They didn’t, but that’s another story.]</w:t>
      </w:r>
    </w:p>
    <w:p w:rsidR="005E4928" w:rsidRDefault="005E4928" w:rsidP="00C6463F"/>
    <w:p w:rsidR="003B0414" w:rsidRDefault="00F426FE" w:rsidP="00C6463F">
      <w:r>
        <w:t>In that sense, o</w:t>
      </w:r>
      <w:r w:rsidR="005E4928">
        <w:t xml:space="preserve">ur ambition </w:t>
      </w:r>
      <w:r w:rsidR="00F53CCA">
        <w:t xml:space="preserve">in </w:t>
      </w:r>
      <w:r w:rsidR="00F53CCA" w:rsidRPr="00F53CCA">
        <w:rPr>
          <w:i/>
        </w:rPr>
        <w:t>The Power</w:t>
      </w:r>
      <w:r w:rsidR="00F53CCA">
        <w:t xml:space="preserve"> </w:t>
      </w:r>
      <w:r w:rsidR="001A45B3">
        <w:t>had</w:t>
      </w:r>
      <w:r w:rsidR="005E4928">
        <w:t xml:space="preserve"> </w:t>
      </w:r>
      <w:r w:rsidR="005E4928" w:rsidRPr="003B0414">
        <w:rPr>
          <w:i/>
        </w:rPr>
        <w:t>not</w:t>
      </w:r>
      <w:r w:rsidR="005E4928">
        <w:t xml:space="preserve"> </w:t>
      </w:r>
      <w:r>
        <w:t xml:space="preserve">been </w:t>
      </w:r>
      <w:r w:rsidR="005E4928">
        <w:t>to produce a general model of democratic political proces</w:t>
      </w:r>
      <w:r w:rsidR="001006A2">
        <w:t>s for policy analysis purposes;</w:t>
      </w:r>
      <w:r>
        <w:t xml:space="preserve"> </w:t>
      </w:r>
      <w:r w:rsidR="001006A2">
        <w:t>rather it had been</w:t>
      </w:r>
      <w:r>
        <w:t xml:space="preserve"> </w:t>
      </w:r>
      <w:r w:rsidR="005E4928">
        <w:t xml:space="preserve">to provide a kind of morality tale about how </w:t>
      </w:r>
      <w:r w:rsidR="001006A2">
        <w:t>sensitive</w:t>
      </w:r>
      <w:r w:rsidR="005E4928">
        <w:t xml:space="preserve"> policy recommendations might turn out to be</w:t>
      </w:r>
      <w:r w:rsidR="001006A2">
        <w:t xml:space="preserve"> to changes in basic </w:t>
      </w:r>
      <w:r w:rsidR="005E4928">
        <w:t xml:space="preserve">political assumptions. </w:t>
      </w:r>
    </w:p>
    <w:p w:rsidR="00F426FE" w:rsidRDefault="00F426FE" w:rsidP="00C6463F"/>
    <w:p w:rsidR="00FE726C" w:rsidRDefault="00A4238D" w:rsidP="00C6463F">
      <w:r>
        <w:t>But caricatures apart</w:t>
      </w:r>
      <w:r w:rsidR="00FE726C">
        <w:t xml:space="preserve">, </w:t>
      </w:r>
      <w:r w:rsidR="001006A2" w:rsidRPr="001006A2">
        <w:rPr>
          <w:i/>
        </w:rPr>
        <w:t>The Power</w:t>
      </w:r>
      <w:r w:rsidR="001006A2">
        <w:t xml:space="preserve"> represented</w:t>
      </w:r>
      <w:r w:rsidR="00FE726C">
        <w:t xml:space="preserve"> a</w:t>
      </w:r>
      <w:r w:rsidR="00F426FE">
        <w:t>n application of the</w:t>
      </w:r>
      <w:r w:rsidR="00FE726C">
        <w:t xml:space="preserve"> general kind of ‘principal/agent’ approach to political analysis and policy reasoning</w:t>
      </w:r>
      <w:r w:rsidR="00F426FE">
        <w:t xml:space="preserve"> that public choice theory had long been advocating</w:t>
      </w:r>
      <w:r w:rsidR="00FE726C">
        <w:t xml:space="preserve">. If government action was to be seen as having presumptively desirable effects, that was something that had to be </w:t>
      </w:r>
      <w:r w:rsidR="00FE726C" w:rsidRPr="00FE726C">
        <w:rPr>
          <w:i/>
        </w:rPr>
        <w:t>proven</w:t>
      </w:r>
      <w:r w:rsidR="00FE726C">
        <w:t xml:space="preserve"> – not </w:t>
      </w:r>
      <w:r w:rsidR="00FE726C" w:rsidRPr="00FE726C">
        <w:rPr>
          <w:i/>
        </w:rPr>
        <w:t>assumed</w:t>
      </w:r>
      <w:r w:rsidR="00FE726C">
        <w:rPr>
          <w:i/>
        </w:rPr>
        <w:t xml:space="preserve">. </w:t>
      </w:r>
      <w:r w:rsidR="00FE726C">
        <w:t xml:space="preserve">And the point of departure in that exercise ought to be, we thought, the </w:t>
      </w:r>
      <w:r w:rsidR="00FE726C" w:rsidRPr="00FE726C">
        <w:rPr>
          <w:i/>
        </w:rPr>
        <w:t xml:space="preserve">homo </w:t>
      </w:r>
      <w:proofErr w:type="spellStart"/>
      <w:r w:rsidR="00FE726C" w:rsidRPr="00FE726C">
        <w:rPr>
          <w:i/>
        </w:rPr>
        <w:t>economicus</w:t>
      </w:r>
      <w:proofErr w:type="spellEnd"/>
      <w:r w:rsidR="00FE726C">
        <w:t xml:space="preserve"> assumption – not, as John Stuart Mill put it, because that </w:t>
      </w:r>
      <w:r w:rsidR="00F426FE">
        <w:t>“</w:t>
      </w:r>
      <w:r w:rsidR="00FE726C" w:rsidRPr="00F426FE">
        <w:rPr>
          <w:i/>
        </w:rPr>
        <w:t xml:space="preserve">always is so, but because </w:t>
      </w:r>
      <w:r w:rsidR="00F426FE" w:rsidRPr="00F426FE">
        <w:rPr>
          <w:i/>
        </w:rPr>
        <w:t>such</w:t>
      </w:r>
      <w:r w:rsidR="00FE726C" w:rsidRPr="00F426FE">
        <w:rPr>
          <w:i/>
        </w:rPr>
        <w:t xml:space="preserve"> </w:t>
      </w:r>
      <w:r w:rsidR="00F426FE" w:rsidRPr="00F426FE">
        <w:rPr>
          <w:i/>
        </w:rPr>
        <w:t>is</w:t>
      </w:r>
      <w:r w:rsidR="00FE726C" w:rsidRPr="00F426FE">
        <w:rPr>
          <w:i/>
        </w:rPr>
        <w:t xml:space="preserve"> the </w:t>
      </w:r>
      <w:r w:rsidR="00F426FE" w:rsidRPr="00F426FE">
        <w:rPr>
          <w:i/>
        </w:rPr>
        <w:t>natural tendency of things</w:t>
      </w:r>
      <w:r>
        <w:rPr>
          <w:i/>
        </w:rPr>
        <w:t>,</w:t>
      </w:r>
      <w:r w:rsidR="00F426FE" w:rsidRPr="00F426FE">
        <w:rPr>
          <w:i/>
        </w:rPr>
        <w:t xml:space="preserve"> to guard </w:t>
      </w:r>
      <w:r w:rsidR="00FE726C" w:rsidRPr="00F426FE">
        <w:rPr>
          <w:i/>
        </w:rPr>
        <w:t xml:space="preserve">against which </w:t>
      </w:r>
      <w:r w:rsidR="00F426FE" w:rsidRPr="00F426FE">
        <w:rPr>
          <w:i/>
        </w:rPr>
        <w:t>is the especial use of free institutions</w:t>
      </w:r>
      <w:r w:rsidR="00FE726C">
        <w:t>.</w:t>
      </w:r>
      <w:r w:rsidR="00F426FE">
        <w:t>”</w:t>
      </w:r>
    </w:p>
    <w:p w:rsidR="00FE726C" w:rsidRDefault="00FE726C" w:rsidP="00C6463F"/>
    <w:p w:rsidR="00FE726C" w:rsidRDefault="00A4238D" w:rsidP="00C6463F">
      <w:r>
        <w:t>H</w:t>
      </w:r>
      <w:r w:rsidR="00FE726C">
        <w:t xml:space="preserve">ere is a good opportunity to emphasize a point on which I think there has been serious confusion in much of the critical literature (critical, I </w:t>
      </w:r>
      <w:r w:rsidR="00A35DB4">
        <w:t>me</w:t>
      </w:r>
      <w:r w:rsidR="00FE726C">
        <w:t>an</w:t>
      </w:r>
      <w:r w:rsidR="00A35DB4">
        <w:t>,</w:t>
      </w:r>
      <w:r w:rsidR="00FE726C">
        <w:t xml:space="preserve"> of ‘public choice</w:t>
      </w:r>
      <w:r w:rsidR="00A35DB4">
        <w:t>’). The confusion is nicely captured in the title of a p</w:t>
      </w:r>
      <w:r w:rsidR="00F426FE">
        <w:t>aper</w:t>
      </w:r>
      <w:r w:rsidR="00A35DB4">
        <w:t xml:space="preserve"> by Mark </w:t>
      </w:r>
      <w:proofErr w:type="spellStart"/>
      <w:r w:rsidR="00A35DB4">
        <w:t>Kelman</w:t>
      </w:r>
      <w:proofErr w:type="spellEnd"/>
      <w:r w:rsidR="00A35DB4">
        <w:t xml:space="preserve"> </w:t>
      </w:r>
      <w:r w:rsidR="001006A2">
        <w:t>[</w:t>
      </w:r>
      <w:r w:rsidR="001006A2">
        <w:rPr>
          <w:i/>
        </w:rPr>
        <w:t xml:space="preserve">Virginia Law Review </w:t>
      </w:r>
      <w:r w:rsidR="001006A2">
        <w:t>(1984)</w:t>
      </w:r>
      <w:r w:rsidR="001006A2" w:rsidRPr="001006A2">
        <w:t>]</w:t>
      </w:r>
      <w:r w:rsidR="001006A2">
        <w:rPr>
          <w:i/>
        </w:rPr>
        <w:t xml:space="preserve"> </w:t>
      </w:r>
      <w:r w:rsidR="00A35DB4">
        <w:t xml:space="preserve">in which public choice theory </w:t>
      </w:r>
      <w:r w:rsidR="001006A2">
        <w:t xml:space="preserve">is described </w:t>
      </w:r>
      <w:r w:rsidR="00A35DB4">
        <w:t xml:space="preserve">as “democracy bashing”. </w:t>
      </w:r>
      <w:proofErr w:type="gramStart"/>
      <w:r w:rsidR="00A35DB4">
        <w:t xml:space="preserve">That </w:t>
      </w:r>
      <w:r w:rsidR="00F53CCA">
        <w:t xml:space="preserve">description </w:t>
      </w:r>
      <w:r w:rsidR="00A35DB4">
        <w:t xml:space="preserve">seems to me to be </w:t>
      </w:r>
      <w:r w:rsidR="00F53CCA">
        <w:t>decidedly inappropriate</w:t>
      </w:r>
      <w:r w:rsidR="00A35DB4">
        <w:t xml:space="preserve"> –</w:t>
      </w:r>
      <w:r w:rsidR="00A55F7C">
        <w:t xml:space="preserve"> </w:t>
      </w:r>
      <w:r w:rsidR="00F53CCA">
        <w:t xml:space="preserve">but it’s </w:t>
      </w:r>
      <w:r w:rsidR="00A35DB4">
        <w:t xml:space="preserve">an instructive </w:t>
      </w:r>
      <w:r w:rsidR="00F53CCA">
        <w:t>mistake</w:t>
      </w:r>
      <w:r w:rsidR="00A55F7C">
        <w:t xml:space="preserve">, </w:t>
      </w:r>
      <w:r>
        <w:t>and hence</w:t>
      </w:r>
      <w:r w:rsidR="00A55F7C">
        <w:t xml:space="preserve"> important not just to dismiss it</w:t>
      </w:r>
      <w:r w:rsidR="00A35DB4">
        <w:t>.</w:t>
      </w:r>
      <w:proofErr w:type="gramEnd"/>
      <w:r w:rsidR="00A35DB4">
        <w:t xml:space="preserve"> Surely, the true enemies of democracy are those who take it as a matter of course that the agents who produce policy will routinely act in the public interest – in the absence of any incentive</w:t>
      </w:r>
      <w:r w:rsidR="00A55F7C">
        <w:t>s</w:t>
      </w:r>
      <w:r w:rsidR="00A35DB4">
        <w:t xml:space="preserve"> at all to do so. </w:t>
      </w:r>
      <w:r w:rsidR="00F53CCA">
        <w:t>If</w:t>
      </w:r>
      <w:r w:rsidR="00F426FE">
        <w:t xml:space="preserve"> benevolent despot thinking </w:t>
      </w:r>
      <w:r w:rsidR="00F53CCA">
        <w:t>is adopted, then</w:t>
      </w:r>
      <w:r w:rsidR="00F426FE">
        <w:t xml:space="preserve"> </w:t>
      </w:r>
      <w:r w:rsidR="00A35DB4">
        <w:t xml:space="preserve">the constraints embodied in democratic electoral requirements can only serve to prevent benign policy-makers from doing the good they would otherwise do! Given that view, the thing we ought to be aiming at is to </w:t>
      </w:r>
      <w:r w:rsidR="00A35DB4" w:rsidRPr="00A55F7C">
        <w:rPr>
          <w:i/>
        </w:rPr>
        <w:t>diminish</w:t>
      </w:r>
      <w:r w:rsidR="00A35DB4">
        <w:t xml:space="preserve"> the role of electoral constraints – to move towards less democracy, not more! Or less effective democracy! </w:t>
      </w:r>
      <w:r w:rsidR="00F53CCA">
        <w:t>It is the benevolent despot approach that is democracy-bashing</w:t>
      </w:r>
      <w:r>
        <w:t xml:space="preserve"> in its implications</w:t>
      </w:r>
      <w:r w:rsidR="00F53CCA">
        <w:t>, not the public choice alternative!</w:t>
      </w:r>
    </w:p>
    <w:p w:rsidR="00A35DB4" w:rsidRDefault="00A35DB4" w:rsidP="00C6463F"/>
    <w:p w:rsidR="00A35DB4" w:rsidRDefault="00141B3D" w:rsidP="00C6463F">
      <w:r>
        <w:t>We p</w:t>
      </w:r>
      <w:r w:rsidR="00A35DB4">
        <w:t xml:space="preserve">ublic choice theorists are, in this sense, presumptive democrats. </w:t>
      </w:r>
      <w:r>
        <w:t>We</w:t>
      </w:r>
      <w:r w:rsidR="00A35DB4">
        <w:t xml:space="preserve"> locate </w:t>
      </w:r>
      <w:r w:rsidR="00F53CCA">
        <w:t xml:space="preserve">the domain of </w:t>
      </w:r>
      <w:r w:rsidR="00A35DB4">
        <w:t>the</w:t>
      </w:r>
      <w:r w:rsidR="00F53CCA">
        <w:t>ir</w:t>
      </w:r>
      <w:r w:rsidR="00A35DB4">
        <w:t xml:space="preserve"> normative </w:t>
      </w:r>
      <w:r w:rsidR="00F53CCA">
        <w:t>analysis</w:t>
      </w:r>
      <w:r w:rsidR="00A35DB4">
        <w:t xml:space="preserve"> </w:t>
      </w:r>
      <w:r w:rsidR="00A55F7C">
        <w:t>in</w:t>
      </w:r>
      <w:r w:rsidR="00A35DB4">
        <w:t xml:space="preserve"> </w:t>
      </w:r>
      <w:r w:rsidR="00A4238D" w:rsidRPr="00A4238D">
        <w:rPr>
          <w:i/>
        </w:rPr>
        <w:t>The Reason of Rules</w:t>
      </w:r>
      <w:r w:rsidR="00A4238D">
        <w:rPr>
          <w:i/>
        </w:rPr>
        <w:t xml:space="preserve"> </w:t>
      </w:r>
      <w:r w:rsidR="00A35DB4">
        <w:t xml:space="preserve">– the </w:t>
      </w:r>
      <w:r w:rsidR="00A4238D">
        <w:t xml:space="preserve">institutions </w:t>
      </w:r>
      <w:r w:rsidR="00A35DB4">
        <w:t xml:space="preserve">of the political game – and aim to discover, among other things, what </w:t>
      </w:r>
      <w:r w:rsidR="00F53CCA">
        <w:t>form of democratic arrangements</w:t>
      </w:r>
      <w:r w:rsidR="00D41F8E">
        <w:t xml:space="preserve">, </w:t>
      </w:r>
      <w:r w:rsidR="00F53CCA">
        <w:t xml:space="preserve">what rules for </w:t>
      </w:r>
      <w:r w:rsidR="00D41F8E">
        <w:t xml:space="preserve">determining the policies that will govern </w:t>
      </w:r>
      <w:r w:rsidR="00A55F7C">
        <w:t>citizen’s</w:t>
      </w:r>
      <w:r w:rsidR="00D41F8E">
        <w:t xml:space="preserve"> lives, are most </w:t>
      </w:r>
      <w:r w:rsidR="00A55F7C">
        <w:t>likely to produce outcomes</w:t>
      </w:r>
      <w:r w:rsidR="00A55F7C" w:rsidRPr="00A55F7C">
        <w:t xml:space="preserve"> </w:t>
      </w:r>
      <w:r w:rsidR="00A55F7C">
        <w:t>those citizens are likely to find tolerable</w:t>
      </w:r>
      <w:r w:rsidR="00D41F8E">
        <w:t xml:space="preserve">. Sometimes, to be sure, public choice theorists seem to have been more concerned to minimize the </w:t>
      </w:r>
      <w:r w:rsidR="008366F8">
        <w:t>domain</w:t>
      </w:r>
      <w:r w:rsidR="00D41F8E">
        <w:t xml:space="preserve"> of collective decision-making than to work out how collective decision-making may best be done – and of course the ‘optimal constitution’ will include a specification of the </w:t>
      </w:r>
      <w:r w:rsidR="008366F8">
        <w:t>proper</w:t>
      </w:r>
      <w:r w:rsidR="00D41F8E">
        <w:t xml:space="preserve"> allocation of tasks as between market and political processes. But an important strand of the agenda has always been that of designing better rules </w:t>
      </w:r>
      <w:r w:rsidR="008366F8">
        <w:t xml:space="preserve">for collective decision-making itself </w:t>
      </w:r>
      <w:r w:rsidR="00D41F8E">
        <w:t xml:space="preserve">– and there can be no sense in which public choice theorists have </w:t>
      </w:r>
      <w:r w:rsidR="003B0414">
        <w:t>been disposed to embrace</w:t>
      </w:r>
      <w:r w:rsidR="00D41F8E">
        <w:t xml:space="preserve"> specifically </w:t>
      </w:r>
      <w:r w:rsidR="00D41F8E" w:rsidRPr="00D41F8E">
        <w:rPr>
          <w:i/>
        </w:rPr>
        <w:t>non-</w:t>
      </w:r>
      <w:r w:rsidR="00D41F8E">
        <w:t xml:space="preserve">democratic institutions as a central part of that agenda. </w:t>
      </w:r>
    </w:p>
    <w:p w:rsidR="008366F8" w:rsidRDefault="008366F8" w:rsidP="00C6463F"/>
    <w:p w:rsidR="008366F8" w:rsidRDefault="008366F8" w:rsidP="00C6463F"/>
    <w:p w:rsidR="008366F8" w:rsidRDefault="00F53CCA" w:rsidP="00C6463F">
      <w:r>
        <w:t xml:space="preserve">In </w:t>
      </w:r>
      <w:r w:rsidR="00F06DED">
        <w:t>an</w:t>
      </w:r>
      <w:r>
        <w:t>y event</w:t>
      </w:r>
      <w:r w:rsidR="008366F8">
        <w:t xml:space="preserve">, over the months and years following the publication of </w:t>
      </w:r>
      <w:r w:rsidR="00064D91" w:rsidRPr="00064D91">
        <w:rPr>
          <w:i/>
        </w:rPr>
        <w:t>T</w:t>
      </w:r>
      <w:r w:rsidR="008366F8" w:rsidRPr="00064D91">
        <w:rPr>
          <w:i/>
        </w:rPr>
        <w:t>he Power to Tax</w:t>
      </w:r>
      <w:r w:rsidR="008366F8">
        <w:t>, Jim and I found ourselves patiently (</w:t>
      </w:r>
      <w:r w:rsidR="00A55F7C">
        <w:t>and</w:t>
      </w:r>
      <w:r w:rsidR="008366F8">
        <w:t xml:space="preserve"> sometimes not so patiently) trying to rehearse these simple claims – to explain that political outcomes are to be thought of as </w:t>
      </w:r>
      <w:proofErr w:type="spellStart"/>
      <w:r w:rsidR="008366F8">
        <w:t>equilibria</w:t>
      </w:r>
      <w:proofErr w:type="spellEnd"/>
      <w:r w:rsidR="008366F8">
        <w:t xml:space="preserve">; that </w:t>
      </w:r>
      <w:r w:rsidR="00064D91">
        <w:t>the</w:t>
      </w:r>
      <w:r w:rsidR="008366F8">
        <w:t xml:space="preserve"> normative properties of any such </w:t>
      </w:r>
      <w:proofErr w:type="spellStart"/>
      <w:r w:rsidR="008366F8">
        <w:t>equilibria</w:t>
      </w:r>
      <w:proofErr w:type="spellEnd"/>
      <w:r w:rsidR="008366F8">
        <w:t xml:space="preserve"> reflect the institutional framework under which they emerge; and that in that sense the institutional framework (the rules of the game) </w:t>
      </w:r>
      <w:r w:rsidR="00064D91">
        <w:t>is</w:t>
      </w:r>
      <w:r w:rsidR="008366F8">
        <w:t xml:space="preserve"> </w:t>
      </w:r>
      <w:r w:rsidR="00A4238D">
        <w:t>a</w:t>
      </w:r>
      <w:r w:rsidR="00064D91">
        <w:t xml:space="preserve"> proper focus</w:t>
      </w:r>
      <w:r w:rsidR="008366F8">
        <w:t xml:space="preserve"> of normative </w:t>
      </w:r>
      <w:r w:rsidR="00064D91">
        <w:t>analysis</w:t>
      </w:r>
      <w:r w:rsidR="00A4238D">
        <w:t xml:space="preserve"> (and arguably the </w:t>
      </w:r>
      <w:r w:rsidR="00A4238D" w:rsidRPr="00A4238D">
        <w:rPr>
          <w:i/>
        </w:rPr>
        <w:t>primary</w:t>
      </w:r>
      <w:r w:rsidR="00A4238D">
        <w:t xml:space="preserve"> such focus)</w:t>
      </w:r>
      <w:r w:rsidR="00064D91">
        <w:t>.</w:t>
      </w:r>
      <w:r w:rsidR="008366F8">
        <w:t xml:space="preserve"> </w:t>
      </w:r>
      <w:r w:rsidR="00E02BA3">
        <w:t xml:space="preserve">That, as we saw it, was the </w:t>
      </w:r>
      <w:r w:rsidR="0011263D">
        <w:t>core</w:t>
      </w:r>
      <w:r w:rsidR="00E02BA3">
        <w:t xml:space="preserve"> of the ‘constitutional political economy program’ – and we saw </w:t>
      </w:r>
      <w:r w:rsidR="00E02BA3" w:rsidRPr="00E02BA3">
        <w:rPr>
          <w:i/>
        </w:rPr>
        <w:t>The Power to Tax</w:t>
      </w:r>
      <w:r w:rsidR="00E02BA3">
        <w:t xml:space="preserve"> as an application of </w:t>
      </w:r>
      <w:r w:rsidR="001006A2">
        <w:t>one</w:t>
      </w:r>
      <w:r w:rsidR="0011263D">
        <w:t xml:space="preserve"> simple idea within </w:t>
      </w:r>
      <w:r w:rsidR="00E02BA3">
        <w:t>that program.</w:t>
      </w:r>
      <w:r w:rsidR="0011263D">
        <w:t xml:space="preserve"> In the process, we were led to write various defences and elaborations of aspects of the constitutional approach – some of them jointly, some separately or with other co-authors. </w:t>
      </w:r>
      <w:r w:rsidR="001006A2">
        <w:t>A</w:t>
      </w:r>
      <w:r>
        <w:t>nd a</w:t>
      </w:r>
      <w:r w:rsidR="001006A2">
        <w:t xml:space="preserve">t some point in the early 80’s </w:t>
      </w:r>
      <w:r w:rsidR="0011263D">
        <w:t xml:space="preserve">it seemed appropriate for us to try to draw these bits and pieces together. </w:t>
      </w:r>
      <w:r w:rsidR="0011263D" w:rsidRPr="0011263D">
        <w:rPr>
          <w:i/>
        </w:rPr>
        <w:t>The Reason of Rules</w:t>
      </w:r>
      <w:r w:rsidR="0011263D">
        <w:t xml:space="preserve"> was the result.</w:t>
      </w:r>
    </w:p>
    <w:p w:rsidR="0011263D" w:rsidRDefault="0011263D" w:rsidP="00C6463F"/>
    <w:p w:rsidR="0011263D" w:rsidRDefault="0011263D" w:rsidP="00C6463F">
      <w:r>
        <w:t>One of Jim’s favourite quotations in relation to his various expositional efforts – both in print and in the classroom -- was from Herbert Spencer:</w:t>
      </w:r>
    </w:p>
    <w:p w:rsidR="0011263D" w:rsidRDefault="0011263D" w:rsidP="0011263D">
      <w:pPr>
        <w:ind w:left="720"/>
        <w:rPr>
          <w:i/>
        </w:rPr>
      </w:pPr>
      <w:r>
        <w:rPr>
          <w:i/>
        </w:rPr>
        <w:t>“Only by varied reiteration can alien concepts be forced upon reluctant minds.”</w:t>
      </w:r>
    </w:p>
    <w:p w:rsidR="0011263D" w:rsidRDefault="00A4238D" w:rsidP="0011263D">
      <w:r>
        <w:t>I’m not sure how much “</w:t>
      </w:r>
      <w:r w:rsidRPr="00A4238D">
        <w:rPr>
          <w:i/>
        </w:rPr>
        <w:t>force</w:t>
      </w:r>
      <w:r>
        <w:t>” was in play. The only real tool at our disposal was reasoned argument. But certainly,</w:t>
      </w:r>
      <w:r w:rsidR="0011263D">
        <w:t xml:space="preserve"> we had found the minds in question </w:t>
      </w:r>
      <w:r w:rsidR="00BD6F8E">
        <w:t xml:space="preserve">surprisingly “reluctant”, even to the point of obstinacy (as some remarks in the </w:t>
      </w:r>
      <w:r w:rsidR="001006A2">
        <w:t xml:space="preserve">book’s </w:t>
      </w:r>
      <w:r w:rsidR="00BD6F8E">
        <w:t xml:space="preserve">preface hint). </w:t>
      </w:r>
      <w:r>
        <w:t xml:space="preserve">Apparently ideas that seemed obvious enough to us were “alien” to many. </w:t>
      </w:r>
      <w:r w:rsidR="00BD6F8E">
        <w:t xml:space="preserve">But the </w:t>
      </w:r>
      <w:r>
        <w:t>chief relevance of the Spencer quote</w:t>
      </w:r>
      <w:r w:rsidR="00BD6F8E">
        <w:t xml:space="preserve"> is that we didn’t think </w:t>
      </w:r>
      <w:r w:rsidR="00A326B2">
        <w:t>of</w:t>
      </w:r>
      <w:r w:rsidR="00BD6F8E">
        <w:t xml:space="preserve"> </w:t>
      </w:r>
      <w:r w:rsidR="00BD6F8E" w:rsidRPr="00BD6F8E">
        <w:rPr>
          <w:i/>
        </w:rPr>
        <w:t>The Reason</w:t>
      </w:r>
      <w:r w:rsidR="00BD6F8E">
        <w:t xml:space="preserve"> </w:t>
      </w:r>
      <w:r w:rsidR="00A326B2">
        <w:t>as an occasion</w:t>
      </w:r>
      <w:r w:rsidR="00BD6F8E">
        <w:t xml:space="preserve"> to say things we hadn’t said before: we didn’t embark on doing something </w:t>
      </w:r>
      <w:r w:rsidR="001006A2">
        <w:t xml:space="preserve">especially </w:t>
      </w:r>
      <w:r w:rsidR="00BD6F8E">
        <w:t xml:space="preserve">original, or striking. </w:t>
      </w:r>
      <w:r w:rsidR="001006A2" w:rsidRPr="001006A2">
        <w:rPr>
          <w:i/>
        </w:rPr>
        <w:t>The Reason of Rules</w:t>
      </w:r>
      <w:r w:rsidR="00BD6F8E">
        <w:t xml:space="preserve"> was, in its conception, essentially a piece of “</w:t>
      </w:r>
      <w:r w:rsidR="00BD6F8E" w:rsidRPr="00BD6F8E">
        <w:rPr>
          <w:i/>
        </w:rPr>
        <w:t>varied reiteration</w:t>
      </w:r>
      <w:r w:rsidR="00BD6F8E">
        <w:t xml:space="preserve">”. </w:t>
      </w:r>
    </w:p>
    <w:p w:rsidR="00BD6F8E" w:rsidRDefault="00BD6F8E" w:rsidP="0011263D"/>
    <w:p w:rsidR="001A45B3" w:rsidRDefault="00BD6F8E" w:rsidP="0011263D">
      <w:r>
        <w:t xml:space="preserve">However, I confess that I had thought that this might be an opportunity for Jim to engage </w:t>
      </w:r>
      <w:r w:rsidR="001006A2">
        <w:t xml:space="preserve">with </w:t>
      </w:r>
      <w:r>
        <w:t xml:space="preserve">what I </w:t>
      </w:r>
      <w:r w:rsidR="00A4238D">
        <w:t xml:space="preserve">(and others) had seen </w:t>
      </w:r>
      <w:r>
        <w:t xml:space="preserve">as some of the </w:t>
      </w:r>
      <w:r w:rsidR="00A4238D">
        <w:t xml:space="preserve">general conceptual </w:t>
      </w:r>
      <w:r>
        <w:t xml:space="preserve">questions that the contractarian constitutionalist position raised – issues like the plausibility of the </w:t>
      </w:r>
      <w:r w:rsidR="003644F7">
        <w:t xml:space="preserve">constitutional ignorance assumption; or </w:t>
      </w:r>
      <w:r w:rsidR="00BD6B5A">
        <w:t xml:space="preserve">what one might say when no consensus emerged; or </w:t>
      </w:r>
      <w:r w:rsidR="003644F7">
        <w:t xml:space="preserve">the status of political as contrasted with market processes (and specifically whether there is any genuine difference identifiable within the constitutionalist approach); or the challenge from evolutionary as opposed to constructivist constitutional approaches; or the question of  whether some </w:t>
      </w:r>
      <w:r w:rsidR="00A4238D">
        <w:t>moral</w:t>
      </w:r>
      <w:r w:rsidR="003644F7">
        <w:t xml:space="preserve"> issues defy ‘constitutional’ solutions. Some of these issues are raised in the e</w:t>
      </w:r>
      <w:r w:rsidR="00A326B2">
        <w:t>arly chapters of the book – but</w:t>
      </w:r>
      <w:r w:rsidR="00A4238D">
        <w:t xml:space="preserve"> </w:t>
      </w:r>
      <w:r w:rsidR="003644F7">
        <w:t xml:space="preserve">acknowledged </w:t>
      </w:r>
      <w:r w:rsidR="00A4238D">
        <w:t xml:space="preserve">rather </w:t>
      </w:r>
      <w:r w:rsidR="003644F7">
        <w:t>than engaged</w:t>
      </w:r>
      <w:r w:rsidR="00A326B2">
        <w:t xml:space="preserve"> with</w:t>
      </w:r>
      <w:r w:rsidR="003644F7">
        <w:t xml:space="preserve">. </w:t>
      </w:r>
      <w:r w:rsidR="00BD6B5A">
        <w:t xml:space="preserve">In that sense, I’m not sure how successful we were in moving </w:t>
      </w:r>
      <w:r w:rsidR="00A326B2">
        <w:t xml:space="preserve">much </w:t>
      </w:r>
      <w:r w:rsidR="00BD6B5A">
        <w:t>beyond mere reiteration</w:t>
      </w:r>
      <w:r w:rsidR="00A4238D">
        <w:t xml:space="preserve"> </w:t>
      </w:r>
      <w:r w:rsidR="00A326B2">
        <w:t xml:space="preserve">– at least </w:t>
      </w:r>
      <w:r w:rsidR="00A4238D">
        <w:t xml:space="preserve">in relation to basic </w:t>
      </w:r>
      <w:r w:rsidR="00A326B2">
        <w:t xml:space="preserve">constitutional </w:t>
      </w:r>
      <w:r w:rsidR="00A4238D">
        <w:t>principles</w:t>
      </w:r>
      <w:r w:rsidR="00BD6B5A">
        <w:t>.</w:t>
      </w:r>
    </w:p>
    <w:p w:rsidR="00BD6B5A" w:rsidRDefault="00BD6B5A" w:rsidP="0011263D"/>
    <w:p w:rsidR="00A52A56" w:rsidRDefault="00A4238D" w:rsidP="0011263D">
      <w:r w:rsidRPr="00A4238D">
        <w:rPr>
          <w:i/>
        </w:rPr>
        <w:t>Some</w:t>
      </w:r>
      <w:r>
        <w:t xml:space="preserve"> of the material was, I think, genuinely new: it had not appeared (and did not appear subsequently) in independent form. </w:t>
      </w:r>
      <w:r w:rsidR="001A45B3">
        <w:t>Jim and I had</w:t>
      </w:r>
      <w:r w:rsidR="00BD6B5A">
        <w:t>,</w:t>
      </w:r>
      <w:r w:rsidR="001A45B3">
        <w:t xml:space="preserve"> in the immediate aftermath of writing </w:t>
      </w:r>
      <w:r w:rsidR="001A45B3" w:rsidRPr="00BC574D">
        <w:rPr>
          <w:i/>
        </w:rPr>
        <w:t>The Power to Tax</w:t>
      </w:r>
      <w:r w:rsidR="00BD6B5A">
        <w:rPr>
          <w:i/>
        </w:rPr>
        <w:t>,</w:t>
      </w:r>
      <w:r w:rsidR="001A45B3">
        <w:t xml:space="preserve"> discussed the possibility of writing a companion volume on the “power to </w:t>
      </w:r>
      <w:r w:rsidR="001A45B3" w:rsidRPr="00BC574D">
        <w:rPr>
          <w:i/>
        </w:rPr>
        <w:t>transfer</w:t>
      </w:r>
      <w:r w:rsidR="001A45B3">
        <w:t xml:space="preserve">” or perhaps </w:t>
      </w:r>
      <w:r w:rsidR="00BC574D">
        <w:t xml:space="preserve">an amalgam of that </w:t>
      </w:r>
      <w:r w:rsidR="000A1FE1">
        <w:t>with some</w:t>
      </w:r>
      <w:r w:rsidR="00BC574D">
        <w:t xml:space="preserve"> discussion of the “power to </w:t>
      </w:r>
      <w:r w:rsidR="00BC574D" w:rsidRPr="00BC574D">
        <w:rPr>
          <w:i/>
        </w:rPr>
        <w:t>regulate</w:t>
      </w:r>
      <w:r w:rsidR="00BC574D">
        <w:t xml:space="preserve">”. Some of the </w:t>
      </w:r>
      <w:r>
        <w:t>“</w:t>
      </w:r>
      <w:r w:rsidR="00BC574D">
        <w:t>transfer</w:t>
      </w:r>
      <w:r>
        <w:t>”</w:t>
      </w:r>
      <w:r w:rsidR="00BC574D">
        <w:t xml:space="preserve"> material appeared in </w:t>
      </w:r>
      <w:r w:rsidR="00BC574D" w:rsidRPr="00BC574D">
        <w:rPr>
          <w:i/>
        </w:rPr>
        <w:t>The Reason</w:t>
      </w:r>
      <w:r w:rsidR="00BC574D">
        <w:rPr>
          <w:i/>
        </w:rPr>
        <w:t xml:space="preserve"> of Rules </w:t>
      </w:r>
      <w:r w:rsidR="00C340B8">
        <w:rPr>
          <w:i/>
        </w:rPr>
        <w:t xml:space="preserve">-- </w:t>
      </w:r>
      <w:r w:rsidR="00BC574D">
        <w:t>in chapters 7 and 8 on the relation between rules and justice</w:t>
      </w:r>
      <w:r w:rsidR="000A1FE1">
        <w:t>,</w:t>
      </w:r>
      <w:r w:rsidR="00BC574D">
        <w:t xml:space="preserve"> and </w:t>
      </w:r>
      <w:r w:rsidR="000A1FE1">
        <w:t xml:space="preserve">on </w:t>
      </w:r>
      <w:r w:rsidR="00BC574D" w:rsidRPr="00BC574D">
        <w:rPr>
          <w:i/>
        </w:rPr>
        <w:t>distributive</w:t>
      </w:r>
      <w:r w:rsidR="00BC574D">
        <w:t xml:space="preserve"> ‘justice’ in particular. It struck me at the </w:t>
      </w:r>
      <w:r w:rsidR="00BC574D">
        <w:lastRenderedPageBreak/>
        <w:t xml:space="preserve">time that what we did was interesting and suggestive, and I guess I am a </w:t>
      </w:r>
      <w:r w:rsidR="004955CA">
        <w:t>trifle</w:t>
      </w:r>
      <w:r w:rsidR="00BC574D">
        <w:t xml:space="preserve"> disappointed that that mate</w:t>
      </w:r>
      <w:r w:rsidR="004955CA">
        <w:t>rial was never much followed up</w:t>
      </w:r>
      <w:r w:rsidR="00BC574D">
        <w:t xml:space="preserve"> (‘still-born from the press’ like Hume’s </w:t>
      </w:r>
      <w:r w:rsidR="00BC574D" w:rsidRPr="00BC574D">
        <w:rPr>
          <w:i/>
        </w:rPr>
        <w:t>Treatise</w:t>
      </w:r>
      <w:r w:rsidR="00BC574D">
        <w:rPr>
          <w:rStyle w:val="FootnoteReference"/>
          <w:i/>
        </w:rPr>
        <w:footnoteReference w:id="1"/>
      </w:r>
      <w:r w:rsidR="00BC574D">
        <w:t>).</w:t>
      </w:r>
      <w:r w:rsidR="004955CA">
        <w:t xml:space="preserve"> </w:t>
      </w:r>
      <w:r w:rsidR="00F06DED">
        <w:t>The central issue raised in that discussion is that, for questions of distributive justice no less than for other normative issues, the constitutional level should be the fi</w:t>
      </w:r>
      <w:r w:rsidR="00A52A56">
        <w:t xml:space="preserve">rst port of call analytically. </w:t>
      </w:r>
      <w:r w:rsidR="00F06DED">
        <w:t>That is, we ought to be interested in ‘</w:t>
      </w:r>
      <w:r w:rsidR="00F06DED" w:rsidRPr="00F06DED">
        <w:rPr>
          <w:i/>
        </w:rPr>
        <w:t>institutional</w:t>
      </w:r>
      <w:r w:rsidR="00F06DED">
        <w:t xml:space="preserve"> incidence’ rather than the incidence (distributive effects) of specific taxes or expenditure operations. </w:t>
      </w:r>
      <w:r w:rsidR="00A52A56">
        <w:t>Perhaps public choice theorists are less interested in distributional questions</w:t>
      </w:r>
      <w:r w:rsidR="00F06DED">
        <w:t xml:space="preserve"> </w:t>
      </w:r>
      <w:r w:rsidR="00A52A56">
        <w:t xml:space="preserve">because they seem to fit less well within the contractarian paradigm. The question of whether and to what extent the constitutional contractarian approach rules out matters of distributive justice is an interesting question. But anyone who thinks distributional considerations are normatively relevant ought to be concerned with the distributional consequences of different possible rules of the game. </w:t>
      </w:r>
    </w:p>
    <w:p w:rsidR="003E5C9C" w:rsidRDefault="003E5C9C" w:rsidP="0011263D"/>
    <w:p w:rsidR="003E5C9C" w:rsidRDefault="003E5C9C" w:rsidP="0011263D">
      <w:r>
        <w:t xml:space="preserve">The point is worth perhaps some elaboration. I have always thought that Jim’s constitutionalism was driven largely by his </w:t>
      </w:r>
      <w:proofErr w:type="spellStart"/>
      <w:r>
        <w:t>contractarianism</w:t>
      </w:r>
      <w:proofErr w:type="spellEnd"/>
      <w:r>
        <w:t xml:space="preserve"> – the recognition that </w:t>
      </w:r>
      <w:proofErr w:type="spellStart"/>
      <w:r>
        <w:t>Wicksellian</w:t>
      </w:r>
      <w:proofErr w:type="spellEnd"/>
      <w:r>
        <w:t xml:space="preserve"> unanimity, if it was to have a practical life</w:t>
      </w:r>
      <w:r w:rsidR="00A4238D">
        <w:t xml:space="preserve">, </w:t>
      </w:r>
      <w:r>
        <w:t xml:space="preserve">would have to be applied at the constitutional level. But once one accepts the general point that political outcomes are to be thought of as </w:t>
      </w:r>
      <w:proofErr w:type="spellStart"/>
      <w:r>
        <w:t>equilibria</w:t>
      </w:r>
      <w:proofErr w:type="spellEnd"/>
      <w:r>
        <w:t xml:space="preserve"> under a </w:t>
      </w:r>
      <w:r w:rsidR="00FB437A">
        <w:t xml:space="preserve">specific set of institutional rules, the constitutional approach has something to say </w:t>
      </w:r>
      <w:r w:rsidR="00A4238D">
        <w:t>to</w:t>
      </w:r>
      <w:r w:rsidR="00FB437A">
        <w:t xml:space="preserve"> normative analysis whatever the normative framework</w:t>
      </w:r>
      <w:r w:rsidR="00A4238D">
        <w:t xml:space="preserve"> and whatever the precise motivational assumptions</w:t>
      </w:r>
      <w:r w:rsidR="00A326B2">
        <w:t xml:space="preserve"> of the players in the relevant models</w:t>
      </w:r>
      <w:r w:rsidR="00A4238D">
        <w:t>.</w:t>
      </w:r>
    </w:p>
    <w:p w:rsidR="00A52A56" w:rsidRDefault="00A52A56" w:rsidP="0011263D"/>
    <w:p w:rsidR="001A45B3" w:rsidRDefault="000A1FE1" w:rsidP="0011263D">
      <w:r>
        <w:t>As to the power to regulate, b</w:t>
      </w:r>
      <w:r w:rsidR="004955CA">
        <w:t xml:space="preserve">y the time I began to think more seriously about </w:t>
      </w:r>
      <w:r>
        <w:t>that</w:t>
      </w:r>
      <w:r w:rsidR="00BD6B5A">
        <w:t xml:space="preserve"> topic</w:t>
      </w:r>
      <w:r w:rsidR="004955CA">
        <w:t>, I was back in Australia and the logistics of trans-Pacific collaboration seemed an overpowering obstacle.</w:t>
      </w:r>
    </w:p>
    <w:p w:rsidR="00BC574D" w:rsidRDefault="00BC574D" w:rsidP="0011263D"/>
    <w:p w:rsidR="004955CA" w:rsidRDefault="00B11F2C" w:rsidP="0011263D">
      <w:r>
        <w:t xml:space="preserve">One other little-known factoid </w:t>
      </w:r>
      <w:r w:rsidR="004955CA">
        <w:t>i</w:t>
      </w:r>
      <w:r w:rsidR="000A1FE1">
        <w:t>s that I had originally drafted</w:t>
      </w:r>
      <w:r w:rsidR="00A55F7C">
        <w:t xml:space="preserve"> a companion to</w:t>
      </w:r>
      <w:r>
        <w:t xml:space="preserve"> </w:t>
      </w:r>
      <w:r w:rsidR="00BD6B5A">
        <w:t xml:space="preserve">the </w:t>
      </w:r>
      <w:r w:rsidR="000A1FE1">
        <w:t>chapter on motivation. I</w:t>
      </w:r>
      <w:r w:rsidR="004955CA">
        <w:t xml:space="preserve">n </w:t>
      </w:r>
      <w:r w:rsidR="00C340B8">
        <w:t xml:space="preserve">the relevant </w:t>
      </w:r>
      <w:r w:rsidR="000A1FE1">
        <w:t>chapter</w:t>
      </w:r>
      <w:r w:rsidR="00BD6B5A">
        <w:t xml:space="preserve"> </w:t>
      </w:r>
      <w:r w:rsidR="00C340B8">
        <w:t>(</w:t>
      </w:r>
      <w:r w:rsidR="00BD6B5A">
        <w:t>4</w:t>
      </w:r>
      <w:r w:rsidR="00C340B8">
        <w:t>)</w:t>
      </w:r>
      <w:r w:rsidR="004955CA">
        <w:t xml:space="preserve"> we </w:t>
      </w:r>
      <w:r w:rsidR="00C340B8">
        <w:t xml:space="preserve">had </w:t>
      </w:r>
      <w:r w:rsidR="004955CA">
        <w:t xml:space="preserve">offered </w:t>
      </w:r>
      <w:r w:rsidR="00BD6B5A">
        <w:t>a developed form of the ‘precautionary’</w:t>
      </w:r>
      <w:r w:rsidR="004955CA">
        <w:t xml:space="preserve"> defence of</w:t>
      </w:r>
      <w:r w:rsidR="00BD6B5A">
        <w:t xml:space="preserve"> the use of</w:t>
      </w:r>
      <w:r w:rsidR="004955CA">
        <w:t xml:space="preserve"> </w:t>
      </w:r>
      <w:r w:rsidR="004955CA" w:rsidRPr="004955CA">
        <w:rPr>
          <w:i/>
        </w:rPr>
        <w:t xml:space="preserve">homo </w:t>
      </w:r>
      <w:proofErr w:type="spellStart"/>
      <w:r w:rsidR="004955CA" w:rsidRPr="004955CA">
        <w:rPr>
          <w:i/>
        </w:rPr>
        <w:t>economicus</w:t>
      </w:r>
      <w:proofErr w:type="spellEnd"/>
      <w:r w:rsidR="004955CA">
        <w:t xml:space="preserve"> </w:t>
      </w:r>
      <w:r w:rsidR="00BD6B5A">
        <w:t>motives in</w:t>
      </w:r>
      <w:r w:rsidR="000A1FE1">
        <w:t xml:space="preserve"> political </w:t>
      </w:r>
      <w:r w:rsidR="00BD6B5A">
        <w:t>models</w:t>
      </w:r>
      <w:r w:rsidR="004955CA">
        <w:t xml:space="preserve">. </w:t>
      </w:r>
      <w:r w:rsidR="000A1FE1">
        <w:t xml:space="preserve">The drafted </w:t>
      </w:r>
      <w:r w:rsidR="000A1FE1" w:rsidRPr="00B11F2C">
        <w:rPr>
          <w:i/>
        </w:rPr>
        <w:t>companion</w:t>
      </w:r>
      <w:r w:rsidR="000A1FE1">
        <w:t xml:space="preserve"> chapter</w:t>
      </w:r>
      <w:r w:rsidR="004955CA">
        <w:t xml:space="preserve"> </w:t>
      </w:r>
      <w:r w:rsidR="000A1FE1">
        <w:t>was to</w:t>
      </w:r>
      <w:r w:rsidR="004955CA">
        <w:t xml:space="preserve"> la</w:t>
      </w:r>
      <w:r w:rsidR="000A1FE1">
        <w:t>y</w:t>
      </w:r>
      <w:r w:rsidR="004955CA">
        <w:t xml:space="preserve"> out the bare bones of the expressive voting argument. </w:t>
      </w:r>
      <w:proofErr w:type="spellStart"/>
      <w:r w:rsidR="004955CA">
        <w:t>Lomasky</w:t>
      </w:r>
      <w:proofErr w:type="spellEnd"/>
      <w:r w:rsidR="004955CA">
        <w:t xml:space="preserve"> and I had been working on this material through 1982/3 when Loren was a </w:t>
      </w:r>
      <w:proofErr w:type="spellStart"/>
      <w:r w:rsidR="004955CA">
        <w:t>Center</w:t>
      </w:r>
      <w:proofErr w:type="spellEnd"/>
      <w:r w:rsidR="004955CA">
        <w:t xml:space="preserve"> visitor; and it seemed to me logical to add </w:t>
      </w:r>
      <w:r w:rsidR="00325C0F">
        <w:t xml:space="preserve">something of this kind as a kind of balance to the </w:t>
      </w:r>
      <w:r w:rsidR="00BD6B5A">
        <w:t>argument</w:t>
      </w:r>
      <w:r w:rsidR="00325C0F">
        <w:t xml:space="preserve"> in chapter 4. Buchanan and I had worked on </w:t>
      </w:r>
      <w:r w:rsidR="000A1FE1">
        <w:t>one</w:t>
      </w:r>
      <w:r w:rsidR="00325C0F">
        <w:t xml:space="preserve"> paper </w:t>
      </w:r>
      <w:r w:rsidR="000A1FE1">
        <w:t>on the expressive theme</w:t>
      </w:r>
      <w:r w:rsidR="00325C0F">
        <w:t xml:space="preserve">, </w:t>
      </w:r>
      <w:r w:rsidR="000A1FE1">
        <w:t xml:space="preserve">which </w:t>
      </w:r>
      <w:r w:rsidR="00325C0F">
        <w:t xml:space="preserve">appeared in the </w:t>
      </w:r>
      <w:r w:rsidR="00325C0F" w:rsidRPr="00325C0F">
        <w:rPr>
          <w:i/>
        </w:rPr>
        <w:t xml:space="preserve">American </w:t>
      </w:r>
      <w:proofErr w:type="spellStart"/>
      <w:r w:rsidR="00325C0F" w:rsidRPr="00325C0F">
        <w:rPr>
          <w:i/>
        </w:rPr>
        <w:t>Behavioral</w:t>
      </w:r>
      <w:proofErr w:type="spellEnd"/>
      <w:r w:rsidR="00325C0F" w:rsidRPr="00325C0F">
        <w:rPr>
          <w:i/>
        </w:rPr>
        <w:t xml:space="preserve"> Scientist</w:t>
      </w:r>
      <w:r w:rsidR="00325C0F">
        <w:t xml:space="preserve"> in 84, so we were certainly working on this </w:t>
      </w:r>
      <w:r w:rsidR="00BD6B5A">
        <w:t>theme</w:t>
      </w:r>
      <w:r w:rsidR="00325C0F">
        <w:t xml:space="preserve"> </w:t>
      </w:r>
      <w:r w:rsidR="00A326B2">
        <w:t xml:space="preserve">together </w:t>
      </w:r>
      <w:r w:rsidR="00325C0F">
        <w:t xml:space="preserve">during the time when </w:t>
      </w:r>
      <w:r w:rsidR="00325C0F" w:rsidRPr="000A1FE1">
        <w:rPr>
          <w:i/>
        </w:rPr>
        <w:t>Reason</w:t>
      </w:r>
      <w:r w:rsidR="00325C0F">
        <w:t xml:space="preserve"> was in progress; and </w:t>
      </w:r>
      <w:r w:rsidR="000A1FE1">
        <w:t>in any event</w:t>
      </w:r>
      <w:r w:rsidR="00325C0F">
        <w:t xml:space="preserve"> th</w:t>
      </w:r>
      <w:r w:rsidR="000A1FE1">
        <w:t>e expressive</w:t>
      </w:r>
      <w:r w:rsidR="00325C0F">
        <w:t xml:space="preserve"> argument really picked up and elaborated ideas that Jim had already long since foreshadowed in his 1954 </w:t>
      </w:r>
      <w:r w:rsidR="00325C0F" w:rsidRPr="00325C0F">
        <w:rPr>
          <w:i/>
        </w:rPr>
        <w:t>JPE</w:t>
      </w:r>
      <w:r w:rsidR="00325C0F">
        <w:t xml:space="preserve"> article.</w:t>
      </w:r>
      <w:r w:rsidR="00646779">
        <w:t xml:space="preserve"> But for some reason</w:t>
      </w:r>
      <w:r w:rsidR="000A1FE1">
        <w:t>,</w:t>
      </w:r>
      <w:r w:rsidR="00646779">
        <w:t xml:space="preserve"> Jim vetoed inclusion of this material. It was, as far as I can recall, the only occasion on which Jim vetoed </w:t>
      </w:r>
      <w:r w:rsidR="000A1FE1">
        <w:t xml:space="preserve">the inclusion of </w:t>
      </w:r>
      <w:r w:rsidR="00646779">
        <w:t>anything I had written – and I still don’t know what lay behind the decision.</w:t>
      </w:r>
      <w:r>
        <w:t xml:space="preserve"> Perhaps he thought that the whole idea needed separate development along the lines that eventually produced </w:t>
      </w:r>
      <w:r w:rsidRPr="00B11F2C">
        <w:rPr>
          <w:i/>
        </w:rPr>
        <w:t>Democracy and Decision</w:t>
      </w:r>
      <w:r>
        <w:t>. If so, he never let on.</w:t>
      </w:r>
    </w:p>
    <w:p w:rsidR="00646779" w:rsidRDefault="00646779" w:rsidP="0011263D"/>
    <w:p w:rsidR="00BC574D" w:rsidRDefault="00646779" w:rsidP="0011263D">
      <w:r>
        <w:t>It needs to be borne in mind</w:t>
      </w:r>
      <w:r w:rsidR="00835F99">
        <w:t xml:space="preserve"> that </w:t>
      </w:r>
      <w:r w:rsidR="001B54B8" w:rsidRPr="001B54B8">
        <w:rPr>
          <w:i/>
        </w:rPr>
        <w:t>T</w:t>
      </w:r>
      <w:r w:rsidR="00835F99" w:rsidRPr="001B54B8">
        <w:rPr>
          <w:i/>
        </w:rPr>
        <w:t>he</w:t>
      </w:r>
      <w:r w:rsidR="00835F99">
        <w:t xml:space="preserve"> </w:t>
      </w:r>
      <w:r w:rsidR="00835F99" w:rsidRPr="001B54B8">
        <w:rPr>
          <w:i/>
        </w:rPr>
        <w:t>Reason of Rules</w:t>
      </w:r>
      <w:r w:rsidR="00835F99">
        <w:t xml:space="preserve"> was written </w:t>
      </w:r>
      <w:r w:rsidR="00BD6B5A">
        <w:t>during</w:t>
      </w:r>
      <w:r w:rsidR="00835F99">
        <w:t xml:space="preserve"> rather tumultuous times in the life of the </w:t>
      </w:r>
      <w:proofErr w:type="spellStart"/>
      <w:r w:rsidR="00835F99">
        <w:t>Center</w:t>
      </w:r>
      <w:proofErr w:type="spellEnd"/>
      <w:r w:rsidR="00835F99">
        <w:t xml:space="preserve"> – at the height of battles at VPI </w:t>
      </w:r>
      <w:r w:rsidR="000A1FE1">
        <w:lastRenderedPageBreak/>
        <w:t xml:space="preserve">between </w:t>
      </w:r>
      <w:r w:rsidR="00A326B2">
        <w:t xml:space="preserve">the </w:t>
      </w:r>
      <w:r w:rsidR="000A1FE1">
        <w:t xml:space="preserve">Public Choice </w:t>
      </w:r>
      <w:proofErr w:type="spellStart"/>
      <w:r w:rsidR="000A1FE1">
        <w:t>Center</w:t>
      </w:r>
      <w:proofErr w:type="spellEnd"/>
      <w:r w:rsidR="000A1FE1">
        <w:t xml:space="preserve"> and the Economics department; </w:t>
      </w:r>
      <w:r w:rsidR="00835F99">
        <w:t xml:space="preserve">and </w:t>
      </w:r>
      <w:r w:rsidR="000A1FE1">
        <w:t xml:space="preserve">presaging </w:t>
      </w:r>
      <w:r w:rsidR="00835F99">
        <w:t xml:space="preserve">the </w:t>
      </w:r>
      <w:proofErr w:type="spellStart"/>
      <w:r w:rsidR="00835F99">
        <w:t>Center’s</w:t>
      </w:r>
      <w:proofErr w:type="spellEnd"/>
      <w:r w:rsidR="00835F99">
        <w:t xml:space="preserve"> decision to move to George Mason. I have no care to rehearse the terms of those battles</w:t>
      </w:r>
      <w:r w:rsidR="001B54B8" w:rsidRPr="001B54B8">
        <w:t xml:space="preserve"> here</w:t>
      </w:r>
      <w:r w:rsidR="00835F99">
        <w:t xml:space="preserve">; but I felt myself to be in the middle of them in several senses. </w:t>
      </w:r>
      <w:proofErr w:type="gramStart"/>
      <w:r w:rsidR="00835F99">
        <w:t>One a</w:t>
      </w:r>
      <w:r w:rsidR="000A1FE1">
        <w:t>wkwardness</w:t>
      </w:r>
      <w:proofErr w:type="gramEnd"/>
      <w:r w:rsidR="000A1FE1">
        <w:t xml:space="preserve"> for me personally</w:t>
      </w:r>
      <w:r w:rsidR="00835F99">
        <w:t xml:space="preserve"> was that</w:t>
      </w:r>
      <w:r w:rsidR="00A326B2">
        <w:t>,</w:t>
      </w:r>
      <w:r w:rsidR="00835F99">
        <w:t xml:space="preserve"> </w:t>
      </w:r>
      <w:r w:rsidR="000A1FE1">
        <w:t xml:space="preserve">though </w:t>
      </w:r>
      <w:r w:rsidR="00835F99">
        <w:t xml:space="preserve">I </w:t>
      </w:r>
      <w:r w:rsidR="000A1FE1">
        <w:t xml:space="preserve">was </w:t>
      </w:r>
      <w:r w:rsidR="00835F99">
        <w:t>a strong supporter of the ‘</w:t>
      </w:r>
      <w:proofErr w:type="spellStart"/>
      <w:r w:rsidR="00835F99">
        <w:t>Center</w:t>
      </w:r>
      <w:proofErr w:type="spellEnd"/>
      <w:r w:rsidR="00835F99">
        <w:t>-departure’ option</w:t>
      </w:r>
      <w:r w:rsidR="000A1FE1">
        <w:t>,</w:t>
      </w:r>
      <w:r w:rsidR="00835F99">
        <w:t xml:space="preserve"> </w:t>
      </w:r>
      <w:r w:rsidR="001B54B8">
        <w:t xml:space="preserve">I was </w:t>
      </w:r>
      <w:r w:rsidR="000A1FE1">
        <w:t xml:space="preserve">myself </w:t>
      </w:r>
      <w:r w:rsidR="001B54B8">
        <w:t>unlikely to join the move. The domestic conse</w:t>
      </w:r>
      <w:r w:rsidR="00835F99">
        <w:t xml:space="preserve">nsus </w:t>
      </w:r>
      <w:r w:rsidR="000A1FE1">
        <w:t xml:space="preserve">in the Brennan household </w:t>
      </w:r>
      <w:r w:rsidR="00835F99">
        <w:t>was that, if we were to move</w:t>
      </w:r>
      <w:r w:rsidR="001B54B8">
        <w:t xml:space="preserve"> at all</w:t>
      </w:r>
      <w:r w:rsidR="00835F99">
        <w:t>, then</w:t>
      </w:r>
      <w:r w:rsidR="001B54B8">
        <w:t xml:space="preserve"> we should return to the ANU, </w:t>
      </w:r>
      <w:r w:rsidR="000A1FE1">
        <w:t xml:space="preserve">to </w:t>
      </w:r>
      <w:r w:rsidR="001B54B8">
        <w:t xml:space="preserve">Canberra, </w:t>
      </w:r>
      <w:r w:rsidR="000A1FE1">
        <w:t xml:space="preserve">to </w:t>
      </w:r>
      <w:r w:rsidR="001B54B8">
        <w:t xml:space="preserve">Margaret’s extended family and all the amenities of </w:t>
      </w:r>
      <w:r w:rsidR="00BD6B5A">
        <w:t>Australian</w:t>
      </w:r>
      <w:r w:rsidR="001B54B8">
        <w:t xml:space="preserve"> life! This meant in turn that </w:t>
      </w:r>
      <w:r w:rsidR="001B54B8" w:rsidRPr="001B54B8">
        <w:rPr>
          <w:i/>
        </w:rPr>
        <w:t>The Reason of Rules</w:t>
      </w:r>
      <w:r w:rsidR="001B54B8">
        <w:t xml:space="preserve"> was very likely to be the last major Brennan-Buchanan collaboration. And so it was to be. Apart from a short piece in the 1988 </w:t>
      </w:r>
      <w:r w:rsidR="001B54B8" w:rsidRPr="001B54B8">
        <w:rPr>
          <w:i/>
        </w:rPr>
        <w:t>Virginia Law Review</w:t>
      </w:r>
      <w:r w:rsidR="001B54B8">
        <w:rPr>
          <w:i/>
        </w:rPr>
        <w:t xml:space="preserve"> </w:t>
      </w:r>
      <w:r w:rsidR="001B54B8">
        <w:t xml:space="preserve">(and a couple of verses of that immortal song ‘Bye Bye Blacksburg’ to be rendered later today) </w:t>
      </w:r>
      <w:r w:rsidR="001B54B8" w:rsidRPr="001B54B8">
        <w:rPr>
          <w:i/>
        </w:rPr>
        <w:t xml:space="preserve">The </w:t>
      </w:r>
      <w:r w:rsidR="000A1FE1">
        <w:rPr>
          <w:i/>
        </w:rPr>
        <w:t>Reason of Rules</w:t>
      </w:r>
      <w:r w:rsidR="001B54B8">
        <w:t xml:space="preserve"> was </w:t>
      </w:r>
      <w:r w:rsidR="000A1FE1">
        <w:t xml:space="preserve">to be </w:t>
      </w:r>
      <w:r w:rsidR="001B54B8">
        <w:t>our last joint effort.</w:t>
      </w:r>
    </w:p>
    <w:p w:rsidR="00ED52BC" w:rsidRDefault="00ED52BC" w:rsidP="0011263D"/>
    <w:p w:rsidR="00ED52BC" w:rsidRDefault="00ED52BC" w:rsidP="0011263D">
      <w:r>
        <w:t xml:space="preserve">From my point of view, this was </w:t>
      </w:r>
      <w:r w:rsidR="00A326B2">
        <w:t xml:space="preserve">highly </w:t>
      </w:r>
      <w:r>
        <w:t>regrettable</w:t>
      </w:r>
      <w:r w:rsidR="00A326B2">
        <w:t xml:space="preserve"> – and in several dimensions</w:t>
      </w:r>
      <w:r>
        <w:t>. Jim was a great co-author – he was tolerant of my stylistic eccentricities, almost always generous-spirited about any ideas I had, and charitable even when he thought I had “fouled up”. And of course, my association with Jim, even before he won the Nobel Prize in 86, hardly did my p</w:t>
      </w:r>
      <w:r w:rsidR="00FD12CA">
        <w:t>rofessional reputation any harm!</w:t>
      </w:r>
      <w:r>
        <w:t xml:space="preserve"> No less </w:t>
      </w:r>
      <w:r w:rsidR="002F1298">
        <w:t>un</w:t>
      </w:r>
      <w:r w:rsidR="00FD12CA">
        <w:t>surprisingly</w:t>
      </w:r>
      <w:r>
        <w:t xml:space="preserve">, we did have the occasional explosive disagreement – usually about religion (one of which </w:t>
      </w:r>
      <w:r w:rsidR="002F1298">
        <w:t xml:space="preserve">occasions </w:t>
      </w:r>
      <w:r>
        <w:t xml:space="preserve">was truly notable), </w:t>
      </w:r>
      <w:r w:rsidR="002F1298">
        <w:t xml:space="preserve">and </w:t>
      </w:r>
      <w:r>
        <w:t xml:space="preserve">sometimes about </w:t>
      </w:r>
      <w:r w:rsidR="00FD12CA">
        <w:t>meta-ethical issues</w:t>
      </w:r>
      <w:r w:rsidR="002F1298">
        <w:t>.</w:t>
      </w:r>
      <w:r w:rsidR="00FD12CA">
        <w:t xml:space="preserve"> (</w:t>
      </w:r>
      <w:r w:rsidR="002F1298">
        <w:t xml:space="preserve">I always thought Jim was very slippery on </w:t>
      </w:r>
      <w:r w:rsidR="00FD12CA">
        <w:t>the status of moral positions</w:t>
      </w:r>
      <w:r w:rsidR="002F1298">
        <w:t>.</w:t>
      </w:r>
      <w:r w:rsidR="00FD12CA">
        <w:t xml:space="preserve"> </w:t>
      </w:r>
      <w:r w:rsidR="002F1298">
        <w:t>And his routine</w:t>
      </w:r>
      <w:r w:rsidR="00FD12CA">
        <w:t xml:space="preserve"> appeals to the “relatively absolute </w:t>
      </w:r>
      <w:proofErr w:type="spellStart"/>
      <w:r w:rsidR="00FD12CA">
        <w:t>absolute</w:t>
      </w:r>
      <w:proofErr w:type="spellEnd"/>
      <w:r w:rsidR="00FD12CA">
        <w:t xml:space="preserve">” I confess I found </w:t>
      </w:r>
      <w:r w:rsidR="002F1298">
        <w:t xml:space="preserve">more </w:t>
      </w:r>
      <w:r w:rsidR="00FD12CA">
        <w:t>evasive</w:t>
      </w:r>
      <w:r w:rsidR="002F1298">
        <w:t xml:space="preserve"> than informative</w:t>
      </w:r>
      <w:r w:rsidR="00FD12CA">
        <w:t>!)</w:t>
      </w:r>
      <w:r>
        <w:t>. But I was not usually the butt of Jim’s fury – for which, I must say, I remain grateful, because his anger could be formidable</w:t>
      </w:r>
      <w:r w:rsidR="00FD12CA">
        <w:t xml:space="preserve">. </w:t>
      </w:r>
    </w:p>
    <w:p w:rsidR="005C4138" w:rsidRDefault="005C4138" w:rsidP="0011263D"/>
    <w:p w:rsidR="005C4138" w:rsidRDefault="005C4138" w:rsidP="0011263D">
      <w:r>
        <w:t xml:space="preserve">In the </w:t>
      </w:r>
      <w:r w:rsidR="002F1298">
        <w:t xml:space="preserve">six </w:t>
      </w:r>
      <w:r>
        <w:t xml:space="preserve">years that I was at the </w:t>
      </w:r>
      <w:proofErr w:type="spellStart"/>
      <w:r>
        <w:t>Center</w:t>
      </w:r>
      <w:proofErr w:type="spellEnd"/>
      <w:r>
        <w:t xml:space="preserve">, most of my </w:t>
      </w:r>
      <w:r w:rsidR="00D3573D">
        <w:t>published output was</w:t>
      </w:r>
      <w:r>
        <w:t xml:space="preserve"> </w:t>
      </w:r>
      <w:proofErr w:type="gramStart"/>
      <w:r>
        <w:t>joint</w:t>
      </w:r>
      <w:proofErr w:type="gramEnd"/>
      <w:r>
        <w:t xml:space="preserve"> with </w:t>
      </w:r>
      <w:r w:rsidR="00D3573D">
        <w:t>Buchanan</w:t>
      </w:r>
      <w:r>
        <w:t xml:space="preserve">. The large exception to this was in 82/3, as the </w:t>
      </w:r>
      <w:r w:rsidRPr="005C4138">
        <w:rPr>
          <w:i/>
        </w:rPr>
        <w:t>Reason of Rules</w:t>
      </w:r>
      <w:r>
        <w:t xml:space="preserve"> was </w:t>
      </w:r>
      <w:r w:rsidR="00D3573D">
        <w:t>entering its final stages</w:t>
      </w:r>
      <w:r>
        <w:t>, when Loren and I began the collaboration that produced quite a number of articles and eventually</w:t>
      </w:r>
      <w:r w:rsidR="00C340B8">
        <w:t xml:space="preserve"> the book, </w:t>
      </w:r>
      <w:r w:rsidRPr="005C4138">
        <w:rPr>
          <w:i/>
        </w:rPr>
        <w:t>Democracy and Decision</w:t>
      </w:r>
      <w:r>
        <w:rPr>
          <w:i/>
        </w:rPr>
        <w:t xml:space="preserve">. </w:t>
      </w:r>
      <w:r>
        <w:t xml:space="preserve">I say most of my output was </w:t>
      </w:r>
      <w:proofErr w:type="gramStart"/>
      <w:r>
        <w:t>joint</w:t>
      </w:r>
      <w:proofErr w:type="gramEnd"/>
      <w:r>
        <w:t xml:space="preserve"> with Jim; but th</w:t>
      </w:r>
      <w:r w:rsidR="00D3573D">
        <w:t>at output</w:t>
      </w:r>
      <w:r>
        <w:t xml:space="preserve"> was of course only a part – a slightly depressingly </w:t>
      </w:r>
      <w:r w:rsidRPr="005C4138">
        <w:rPr>
          <w:i/>
        </w:rPr>
        <w:t>small</w:t>
      </w:r>
      <w:r>
        <w:t xml:space="preserve"> part -- of Jim’s. </w:t>
      </w:r>
      <w:r w:rsidR="002F1298">
        <w:t xml:space="preserve">I think this was the experience of all Jim’s co-authors. Buchanan always had lots of things “on the go”, lots of talks to various groups (all of which, I may say, he </w:t>
      </w:r>
      <w:r w:rsidR="00C340B8">
        <w:t xml:space="preserve">always </w:t>
      </w:r>
      <w:r w:rsidR="002F1298">
        <w:t>had fully written texts, all written about nine months before presentation.)</w:t>
      </w:r>
      <w:r w:rsidR="00D3573D">
        <w:t xml:space="preserve"> </w:t>
      </w:r>
    </w:p>
    <w:p w:rsidR="00D3573D" w:rsidRDefault="00D3573D" w:rsidP="0011263D"/>
    <w:p w:rsidR="00D3573D" w:rsidRPr="00A55F7C" w:rsidRDefault="00D3573D" w:rsidP="0011263D">
      <w:r w:rsidRPr="00D3573D">
        <w:rPr>
          <w:i/>
        </w:rPr>
        <w:t>The Reason of Rules</w:t>
      </w:r>
      <w:r>
        <w:t xml:space="preserve"> was well enough received. It seems to have been tolerably widely cited – but </w:t>
      </w:r>
      <w:r w:rsidR="00A55F7C">
        <w:t xml:space="preserve">interestingly </w:t>
      </w:r>
      <w:r>
        <w:t xml:space="preserve">it never achieved the prominence of </w:t>
      </w:r>
      <w:r w:rsidRPr="00D3573D">
        <w:rPr>
          <w:i/>
        </w:rPr>
        <w:t>The Power to Tax</w:t>
      </w:r>
      <w:r>
        <w:rPr>
          <w:i/>
        </w:rPr>
        <w:t xml:space="preserve">. </w:t>
      </w:r>
      <w:r>
        <w:t xml:space="preserve">[Google Scholar citations for </w:t>
      </w:r>
      <w:r w:rsidRPr="00D3573D">
        <w:rPr>
          <w:i/>
        </w:rPr>
        <w:t>The Power</w:t>
      </w:r>
      <w:r>
        <w:t xml:space="preserve"> </w:t>
      </w:r>
      <w:r w:rsidR="00F13FF8">
        <w:t xml:space="preserve">for example </w:t>
      </w:r>
      <w:r>
        <w:t xml:space="preserve">are about twice those for </w:t>
      </w:r>
      <w:r w:rsidRPr="00D3573D">
        <w:rPr>
          <w:i/>
        </w:rPr>
        <w:t>Reason</w:t>
      </w:r>
      <w:r w:rsidR="00160018">
        <w:rPr>
          <w:i/>
        </w:rPr>
        <w:t xml:space="preserve"> of Rules</w:t>
      </w:r>
      <w:r>
        <w:rPr>
          <w:i/>
        </w:rPr>
        <w:t xml:space="preserve">. </w:t>
      </w:r>
      <w:r>
        <w:t xml:space="preserve">In fact, </w:t>
      </w:r>
      <w:r w:rsidRPr="0047559A">
        <w:rPr>
          <w:i/>
        </w:rPr>
        <w:t>The Power to Tax</w:t>
      </w:r>
      <w:r>
        <w:t xml:space="preserve"> is</w:t>
      </w:r>
      <w:r w:rsidR="0047559A">
        <w:t>,</w:t>
      </w:r>
      <w:r>
        <w:t xml:space="preserve"> </w:t>
      </w:r>
      <w:r w:rsidR="0047559A">
        <w:t xml:space="preserve">after </w:t>
      </w:r>
      <w:r w:rsidR="0047559A" w:rsidRPr="0047559A">
        <w:rPr>
          <w:i/>
        </w:rPr>
        <w:t>The Calculus of Consent</w:t>
      </w:r>
      <w:r w:rsidR="0047559A">
        <w:rPr>
          <w:i/>
        </w:rPr>
        <w:t>,</w:t>
      </w:r>
      <w:r w:rsidR="0047559A">
        <w:t xml:space="preserve"> the most highly </w:t>
      </w:r>
      <w:r>
        <w:t xml:space="preserve">cited </w:t>
      </w:r>
      <w:r w:rsidR="0047559A">
        <w:t xml:space="preserve">of Jim’s books – which means </w:t>
      </w:r>
      <w:r w:rsidR="00A55F7C">
        <w:t xml:space="preserve">in particular </w:t>
      </w:r>
      <w:r w:rsidR="0047559A">
        <w:t xml:space="preserve">that it has a citation count </w:t>
      </w:r>
      <w:r>
        <w:t>s</w:t>
      </w:r>
      <w:r w:rsidR="00A326B2">
        <w:t>urprisingly</w:t>
      </w:r>
      <w:r>
        <w:t xml:space="preserve"> </w:t>
      </w:r>
      <w:r w:rsidR="0047559A">
        <w:t>higher than that of</w:t>
      </w:r>
      <w:r>
        <w:t xml:space="preserve"> </w:t>
      </w:r>
      <w:r w:rsidRPr="0047559A">
        <w:rPr>
          <w:i/>
        </w:rPr>
        <w:t>The Limits of Liberty</w:t>
      </w:r>
      <w:r w:rsidR="0047559A">
        <w:rPr>
          <w:i/>
        </w:rPr>
        <w:t>.</w:t>
      </w:r>
      <w:r w:rsidR="00A55F7C">
        <w:t>]</w:t>
      </w:r>
    </w:p>
    <w:p w:rsidR="0047559A" w:rsidRDefault="0047559A" w:rsidP="0011263D"/>
    <w:tbl>
      <w:tblPr>
        <w:tblStyle w:val="TableGrid"/>
        <w:tblW w:w="0" w:type="auto"/>
        <w:tblLook w:val="04A0"/>
      </w:tblPr>
      <w:tblGrid>
        <w:gridCol w:w="4258"/>
        <w:gridCol w:w="4258"/>
      </w:tblGrid>
      <w:tr w:rsidR="0047559A" w:rsidTr="0047559A">
        <w:tc>
          <w:tcPr>
            <w:tcW w:w="4258" w:type="dxa"/>
          </w:tcPr>
          <w:p w:rsidR="0047559A" w:rsidRPr="0047559A" w:rsidRDefault="0047559A" w:rsidP="0047559A">
            <w:pPr>
              <w:jc w:val="center"/>
              <w:rPr>
                <w:b/>
              </w:rPr>
            </w:pPr>
            <w:r>
              <w:rPr>
                <w:b/>
              </w:rPr>
              <w:t>title</w:t>
            </w:r>
          </w:p>
        </w:tc>
        <w:tc>
          <w:tcPr>
            <w:tcW w:w="4258" w:type="dxa"/>
          </w:tcPr>
          <w:p w:rsidR="0047559A" w:rsidRPr="0047559A" w:rsidRDefault="0047559A" w:rsidP="0047559A">
            <w:pPr>
              <w:jc w:val="center"/>
              <w:rPr>
                <w:b/>
              </w:rPr>
            </w:pPr>
            <w:r>
              <w:rPr>
                <w:b/>
              </w:rPr>
              <w:t>Google scholar cites (08/2013)</w:t>
            </w:r>
          </w:p>
        </w:tc>
      </w:tr>
      <w:tr w:rsidR="0047559A" w:rsidTr="0047559A">
        <w:tc>
          <w:tcPr>
            <w:tcW w:w="4258" w:type="dxa"/>
          </w:tcPr>
          <w:p w:rsidR="0047559A" w:rsidRDefault="0047559A" w:rsidP="0011263D">
            <w:r>
              <w:t>The Calculus of Consent</w:t>
            </w:r>
          </w:p>
        </w:tc>
        <w:tc>
          <w:tcPr>
            <w:tcW w:w="4258" w:type="dxa"/>
          </w:tcPr>
          <w:p w:rsidR="0047559A" w:rsidRDefault="0047559A" w:rsidP="0047559A">
            <w:pPr>
              <w:jc w:val="center"/>
            </w:pPr>
            <w:r>
              <w:t>8000</w:t>
            </w:r>
          </w:p>
        </w:tc>
      </w:tr>
      <w:tr w:rsidR="0047559A" w:rsidTr="0047559A">
        <w:tc>
          <w:tcPr>
            <w:tcW w:w="4258" w:type="dxa"/>
          </w:tcPr>
          <w:p w:rsidR="0047559A" w:rsidRDefault="0047559A" w:rsidP="0011263D">
            <w:r>
              <w:t>The Power to Tax</w:t>
            </w:r>
          </w:p>
        </w:tc>
        <w:tc>
          <w:tcPr>
            <w:tcW w:w="4258" w:type="dxa"/>
          </w:tcPr>
          <w:p w:rsidR="0047559A" w:rsidRDefault="0047559A" w:rsidP="0047559A">
            <w:pPr>
              <w:jc w:val="center"/>
            </w:pPr>
            <w:r>
              <w:t>2900</w:t>
            </w:r>
          </w:p>
        </w:tc>
      </w:tr>
      <w:tr w:rsidR="0047559A" w:rsidTr="0047559A">
        <w:tc>
          <w:tcPr>
            <w:tcW w:w="4258" w:type="dxa"/>
          </w:tcPr>
          <w:p w:rsidR="0047559A" w:rsidRDefault="0047559A" w:rsidP="0011263D">
            <w:r>
              <w:t>The Limits of Liberty</w:t>
            </w:r>
          </w:p>
        </w:tc>
        <w:tc>
          <w:tcPr>
            <w:tcW w:w="4258" w:type="dxa"/>
          </w:tcPr>
          <w:p w:rsidR="0047559A" w:rsidRDefault="0047559A" w:rsidP="0047559A">
            <w:pPr>
              <w:jc w:val="center"/>
            </w:pPr>
            <w:r>
              <w:t>2470</w:t>
            </w:r>
          </w:p>
        </w:tc>
      </w:tr>
      <w:tr w:rsidR="0047559A" w:rsidTr="0047559A">
        <w:tc>
          <w:tcPr>
            <w:tcW w:w="4258" w:type="dxa"/>
          </w:tcPr>
          <w:p w:rsidR="0047559A" w:rsidRDefault="0047559A" w:rsidP="0011263D">
            <w:r>
              <w:t>The Reason of Rules</w:t>
            </w:r>
          </w:p>
        </w:tc>
        <w:tc>
          <w:tcPr>
            <w:tcW w:w="4258" w:type="dxa"/>
          </w:tcPr>
          <w:p w:rsidR="0047559A" w:rsidRDefault="0047559A" w:rsidP="0047559A">
            <w:pPr>
              <w:jc w:val="center"/>
            </w:pPr>
            <w:r>
              <w:t>1376</w:t>
            </w:r>
          </w:p>
        </w:tc>
      </w:tr>
      <w:tr w:rsidR="0047559A" w:rsidTr="0047559A">
        <w:tc>
          <w:tcPr>
            <w:tcW w:w="4258" w:type="dxa"/>
          </w:tcPr>
          <w:p w:rsidR="0047559A" w:rsidRDefault="0047559A" w:rsidP="0011263D">
            <w:r>
              <w:t>Democracy in Deficit</w:t>
            </w:r>
          </w:p>
        </w:tc>
        <w:tc>
          <w:tcPr>
            <w:tcW w:w="4258" w:type="dxa"/>
          </w:tcPr>
          <w:p w:rsidR="0047559A" w:rsidRDefault="0047559A" w:rsidP="0047559A">
            <w:pPr>
              <w:jc w:val="center"/>
            </w:pPr>
            <w:r>
              <w:t>1314</w:t>
            </w:r>
          </w:p>
        </w:tc>
      </w:tr>
      <w:tr w:rsidR="0047559A" w:rsidTr="0047559A">
        <w:tc>
          <w:tcPr>
            <w:tcW w:w="4258" w:type="dxa"/>
          </w:tcPr>
          <w:p w:rsidR="0047559A" w:rsidRDefault="0047559A" w:rsidP="0011263D">
            <w:r>
              <w:lastRenderedPageBreak/>
              <w:t>Public Finance in Democratic Process</w:t>
            </w:r>
          </w:p>
        </w:tc>
        <w:tc>
          <w:tcPr>
            <w:tcW w:w="4258" w:type="dxa"/>
          </w:tcPr>
          <w:p w:rsidR="0047559A" w:rsidRDefault="0047559A" w:rsidP="0047559A">
            <w:pPr>
              <w:jc w:val="center"/>
            </w:pPr>
            <w:r>
              <w:t>707</w:t>
            </w:r>
          </w:p>
        </w:tc>
      </w:tr>
      <w:tr w:rsidR="0047559A" w:rsidTr="0047559A">
        <w:tc>
          <w:tcPr>
            <w:tcW w:w="4258" w:type="dxa"/>
          </w:tcPr>
          <w:p w:rsidR="0047559A" w:rsidRDefault="0047559A" w:rsidP="0011263D">
            <w:r>
              <w:t>Cost and Choice</w:t>
            </w:r>
          </w:p>
        </w:tc>
        <w:tc>
          <w:tcPr>
            <w:tcW w:w="4258" w:type="dxa"/>
          </w:tcPr>
          <w:p w:rsidR="0047559A" w:rsidRDefault="0047559A" w:rsidP="0047559A">
            <w:pPr>
              <w:jc w:val="center"/>
            </w:pPr>
            <w:r>
              <w:t>706</w:t>
            </w:r>
          </w:p>
        </w:tc>
      </w:tr>
      <w:tr w:rsidR="0047559A" w:rsidTr="0047559A">
        <w:tc>
          <w:tcPr>
            <w:tcW w:w="4258" w:type="dxa"/>
          </w:tcPr>
          <w:p w:rsidR="0047559A" w:rsidRDefault="0047559A" w:rsidP="0011263D">
            <w:r>
              <w:t>Public Principles of Public Debt</w:t>
            </w:r>
          </w:p>
        </w:tc>
        <w:tc>
          <w:tcPr>
            <w:tcW w:w="4258" w:type="dxa"/>
          </w:tcPr>
          <w:p w:rsidR="0047559A" w:rsidRDefault="0047559A" w:rsidP="0047559A">
            <w:pPr>
              <w:jc w:val="center"/>
            </w:pPr>
            <w:r>
              <w:t>291</w:t>
            </w:r>
          </w:p>
        </w:tc>
      </w:tr>
      <w:tr w:rsidR="00160018" w:rsidTr="00160018">
        <w:tc>
          <w:tcPr>
            <w:tcW w:w="4258" w:type="dxa"/>
          </w:tcPr>
          <w:p w:rsidR="00160018" w:rsidRDefault="00160018" w:rsidP="0011263D">
            <w:r>
              <w:t>Politics by Principle</w:t>
            </w:r>
          </w:p>
        </w:tc>
        <w:tc>
          <w:tcPr>
            <w:tcW w:w="4258" w:type="dxa"/>
          </w:tcPr>
          <w:p w:rsidR="00160018" w:rsidRDefault="00160018" w:rsidP="00160018">
            <w:pPr>
              <w:jc w:val="center"/>
            </w:pPr>
            <w:r>
              <w:t>263</w:t>
            </w:r>
          </w:p>
        </w:tc>
      </w:tr>
    </w:tbl>
    <w:p w:rsidR="0047559A" w:rsidRPr="0047559A" w:rsidRDefault="0047559A" w:rsidP="0011263D"/>
    <w:p w:rsidR="007879E6" w:rsidRDefault="00A55F7C" w:rsidP="0011263D">
      <w:r>
        <w:t>I am sceptical of the value of citations as evidence of scholarly significance.</w:t>
      </w:r>
      <w:r w:rsidR="00C340B8">
        <w:t xml:space="preserve"> But I do think </w:t>
      </w:r>
      <w:r w:rsidR="00C340B8">
        <w:rPr>
          <w:i/>
        </w:rPr>
        <w:t>The Power to Tax</w:t>
      </w:r>
      <w:r w:rsidR="00C340B8">
        <w:t xml:space="preserve"> was in many ways a better book than </w:t>
      </w:r>
      <w:r w:rsidR="00C340B8">
        <w:rPr>
          <w:i/>
        </w:rPr>
        <w:t>The Reason of Rules</w:t>
      </w:r>
      <w:r w:rsidR="00C340B8">
        <w:t xml:space="preserve"> – it had a simpler and more striking message; it </w:t>
      </w:r>
      <w:r w:rsidR="00F13FF8">
        <w:t xml:space="preserve">was more focused and therefore more comprehensible. Authors are arguably poor judges of the relative merits of their own works, but I don’t think </w:t>
      </w:r>
      <w:r w:rsidR="00F13FF8" w:rsidRPr="00F13FF8">
        <w:rPr>
          <w:i/>
        </w:rPr>
        <w:t>The Reason of Rules</w:t>
      </w:r>
      <w:r w:rsidR="00F13FF8">
        <w:t xml:space="preserve"> did full justice to its subject matter. The significance of ‘rules’, the centrality of the constitutional/in-period divide in Buchanan’s thinking, the </w:t>
      </w:r>
      <w:r w:rsidR="00141B3D">
        <w:t xml:space="preserve">full </w:t>
      </w:r>
      <w:r w:rsidR="00F13FF8">
        <w:t>strength and power of the constitutional approach</w:t>
      </w:r>
      <w:r w:rsidR="00141B3D">
        <w:t>,</w:t>
      </w:r>
      <w:r w:rsidR="00F13FF8">
        <w:t xml:space="preserve"> </w:t>
      </w:r>
      <w:r w:rsidR="00141B3D">
        <w:t xml:space="preserve">these </w:t>
      </w:r>
      <w:r w:rsidR="00F13FF8">
        <w:t xml:space="preserve">are depths not </w:t>
      </w:r>
      <w:r w:rsidR="00141B3D">
        <w:t>adequately</w:t>
      </w:r>
      <w:r w:rsidR="00F13FF8">
        <w:t xml:space="preserve"> plumbed in the book</w:t>
      </w:r>
      <w:r w:rsidR="00141B3D">
        <w:t xml:space="preserve">. Although I retain </w:t>
      </w:r>
      <w:proofErr w:type="gramStart"/>
      <w:r w:rsidR="00141B3D">
        <w:t>a certain</w:t>
      </w:r>
      <w:proofErr w:type="gramEnd"/>
      <w:r w:rsidR="00141B3D">
        <w:t xml:space="preserve"> affection for it, and although I think it contains some interesting stuff, I don’t think the contents quite live up to what the title promises. I </w:t>
      </w:r>
      <w:r w:rsidR="00A326B2">
        <w:t>think</w:t>
      </w:r>
      <w:r w:rsidR="00141B3D">
        <w:t xml:space="preserve"> we </w:t>
      </w:r>
      <w:r w:rsidR="00A326B2">
        <w:t xml:space="preserve">could </w:t>
      </w:r>
      <w:r w:rsidR="00141B3D">
        <w:t>ha</w:t>
      </w:r>
      <w:r w:rsidR="00A326B2">
        <w:t>ve</w:t>
      </w:r>
      <w:r w:rsidR="00141B3D">
        <w:t xml:space="preserve"> done better.</w:t>
      </w:r>
      <w:r w:rsidR="00A326B2">
        <w:t xml:space="preserve"> I wish we had.</w:t>
      </w:r>
      <w:bookmarkStart w:id="0" w:name="_GoBack"/>
      <w:bookmarkEnd w:id="0"/>
    </w:p>
    <w:p w:rsidR="00141B3D" w:rsidRDefault="00141B3D" w:rsidP="0011263D"/>
    <w:p w:rsidR="00141B3D" w:rsidRDefault="00141B3D" w:rsidP="0011263D">
      <w:r>
        <w:t>Geoffrey Brennan</w:t>
      </w:r>
    </w:p>
    <w:p w:rsidR="00141B3D" w:rsidRPr="00C340B8" w:rsidRDefault="00141B3D" w:rsidP="0011263D">
      <w:r>
        <w:t xml:space="preserve">September 2013 </w:t>
      </w:r>
    </w:p>
    <w:p w:rsidR="007879E6" w:rsidRPr="005C4138" w:rsidRDefault="007879E6" w:rsidP="0047559A">
      <w:pPr>
        <w:jc w:val="both"/>
      </w:pPr>
    </w:p>
    <w:p w:rsidR="00064D91" w:rsidRDefault="00064D91" w:rsidP="00C6463F"/>
    <w:p w:rsidR="00064D91" w:rsidRPr="0011263D" w:rsidRDefault="00064D91" w:rsidP="00C6463F"/>
    <w:sectPr w:rsidR="00064D91" w:rsidRPr="0011263D" w:rsidSect="004B6744">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2C5" w:rsidRDefault="001112C5" w:rsidP="00BC574D">
      <w:r>
        <w:separator/>
      </w:r>
    </w:p>
  </w:endnote>
  <w:endnote w:type="continuationSeparator" w:id="0">
    <w:p w:rsidR="001112C5" w:rsidRDefault="001112C5" w:rsidP="00BC574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2C5" w:rsidRDefault="001112C5" w:rsidP="00BC574D">
      <w:r>
        <w:separator/>
      </w:r>
    </w:p>
  </w:footnote>
  <w:footnote w:type="continuationSeparator" w:id="0">
    <w:p w:rsidR="001112C5" w:rsidRDefault="001112C5" w:rsidP="00BC574D">
      <w:r>
        <w:continuationSeparator/>
      </w:r>
    </w:p>
  </w:footnote>
  <w:footnote w:id="1">
    <w:p w:rsidR="00141B3D" w:rsidRPr="00BC574D" w:rsidRDefault="00141B3D">
      <w:pPr>
        <w:pStyle w:val="FootnoteText"/>
        <w:rPr>
          <w:sz w:val="20"/>
          <w:szCs w:val="20"/>
          <w:lang w:val="en-US"/>
        </w:rPr>
      </w:pPr>
      <w:r>
        <w:rPr>
          <w:rStyle w:val="FootnoteReference"/>
        </w:rPr>
        <w:footnoteRef/>
      </w:r>
      <w:r>
        <w:t xml:space="preserve"> </w:t>
      </w:r>
      <w:r>
        <w:rPr>
          <w:sz w:val="20"/>
          <w:szCs w:val="20"/>
          <w:lang w:val="en-US"/>
        </w:rPr>
        <w:t xml:space="preserve">This is not to claim any similarity with Hume’s </w:t>
      </w:r>
      <w:r w:rsidRPr="00BC574D">
        <w:rPr>
          <w:i/>
          <w:sz w:val="20"/>
          <w:szCs w:val="20"/>
          <w:lang w:val="en-US"/>
        </w:rPr>
        <w:t>Treatise</w:t>
      </w:r>
      <w:r>
        <w:rPr>
          <w:sz w:val="20"/>
          <w:szCs w:val="20"/>
          <w:lang w:val="en-US"/>
        </w:rPr>
        <w:t xml:space="preserve"> in any other respect!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C6463F"/>
    <w:rsid w:val="00064D91"/>
    <w:rsid w:val="000A1FE1"/>
    <w:rsid w:val="001006A2"/>
    <w:rsid w:val="001112C5"/>
    <w:rsid w:val="0011263D"/>
    <w:rsid w:val="00141B3D"/>
    <w:rsid w:val="00160018"/>
    <w:rsid w:val="001A45B3"/>
    <w:rsid w:val="001B54B8"/>
    <w:rsid w:val="00296695"/>
    <w:rsid w:val="002F1298"/>
    <w:rsid w:val="00325C0F"/>
    <w:rsid w:val="003644F7"/>
    <w:rsid w:val="003B0414"/>
    <w:rsid w:val="003E5C9C"/>
    <w:rsid w:val="0047559A"/>
    <w:rsid w:val="004955CA"/>
    <w:rsid w:val="004B6744"/>
    <w:rsid w:val="005A11FC"/>
    <w:rsid w:val="005C4138"/>
    <w:rsid w:val="005E4928"/>
    <w:rsid w:val="00646779"/>
    <w:rsid w:val="006E193C"/>
    <w:rsid w:val="00713483"/>
    <w:rsid w:val="007879E6"/>
    <w:rsid w:val="00835F99"/>
    <w:rsid w:val="008366F8"/>
    <w:rsid w:val="0087315B"/>
    <w:rsid w:val="00A042F8"/>
    <w:rsid w:val="00A326B2"/>
    <w:rsid w:val="00A35DB4"/>
    <w:rsid w:val="00A4238D"/>
    <w:rsid w:val="00A52A56"/>
    <w:rsid w:val="00A55F7C"/>
    <w:rsid w:val="00B11F2C"/>
    <w:rsid w:val="00BC574D"/>
    <w:rsid w:val="00BD6B5A"/>
    <w:rsid w:val="00BD6F8E"/>
    <w:rsid w:val="00C340B8"/>
    <w:rsid w:val="00C6463F"/>
    <w:rsid w:val="00C826D6"/>
    <w:rsid w:val="00D3573D"/>
    <w:rsid w:val="00D41F8E"/>
    <w:rsid w:val="00E02BA3"/>
    <w:rsid w:val="00ED52BC"/>
    <w:rsid w:val="00F06DED"/>
    <w:rsid w:val="00F13FF8"/>
    <w:rsid w:val="00F426FE"/>
    <w:rsid w:val="00F53CCA"/>
    <w:rsid w:val="00FB437A"/>
    <w:rsid w:val="00FD12CA"/>
    <w:rsid w:val="00FE72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574D"/>
  </w:style>
  <w:style w:type="character" w:customStyle="1" w:styleId="FootnoteTextChar">
    <w:name w:val="Footnote Text Char"/>
    <w:basedOn w:val="DefaultParagraphFont"/>
    <w:link w:val="FootnoteText"/>
    <w:uiPriority w:val="99"/>
    <w:rsid w:val="00BC574D"/>
  </w:style>
  <w:style w:type="character" w:styleId="FootnoteReference">
    <w:name w:val="footnote reference"/>
    <w:basedOn w:val="DefaultParagraphFont"/>
    <w:uiPriority w:val="99"/>
    <w:unhideWhenUsed/>
    <w:rsid w:val="00BC574D"/>
    <w:rPr>
      <w:vertAlign w:val="superscript"/>
    </w:rPr>
  </w:style>
  <w:style w:type="table" w:styleId="TableGrid">
    <w:name w:val="Table Grid"/>
    <w:basedOn w:val="TableNormal"/>
    <w:uiPriority w:val="59"/>
    <w:rsid w:val="00475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574D"/>
  </w:style>
  <w:style w:type="character" w:customStyle="1" w:styleId="FootnoteTextChar">
    <w:name w:val="Footnote Text Char"/>
    <w:basedOn w:val="DefaultParagraphFont"/>
    <w:link w:val="FootnoteText"/>
    <w:uiPriority w:val="99"/>
    <w:rsid w:val="00BC574D"/>
  </w:style>
  <w:style w:type="character" w:styleId="FootnoteReference">
    <w:name w:val="footnote reference"/>
    <w:basedOn w:val="DefaultParagraphFont"/>
    <w:uiPriority w:val="99"/>
    <w:unhideWhenUsed/>
    <w:rsid w:val="00BC574D"/>
    <w:rPr>
      <w:vertAlign w:val="superscript"/>
    </w:rPr>
  </w:style>
  <w:style w:type="table" w:styleId="TableGrid">
    <w:name w:val="Table Grid"/>
    <w:basedOn w:val="TableNormal"/>
    <w:uiPriority w:val="59"/>
    <w:rsid w:val="00475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Geoffery Brennan</dc:creator>
  <cp:lastModifiedBy>rdcinc</cp:lastModifiedBy>
  <cp:revision>2</cp:revision>
  <cp:lastPrinted>2013-09-05T07:30:00Z</cp:lastPrinted>
  <dcterms:created xsi:type="dcterms:W3CDTF">2013-09-05T11:15:00Z</dcterms:created>
  <dcterms:modified xsi:type="dcterms:W3CDTF">2013-09-05T11:15:00Z</dcterms:modified>
</cp:coreProperties>
</file>